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F8F22" w14:textId="77777777" w:rsidR="00703CC0" w:rsidRDefault="00000000">
      <w:pPr>
        <w:spacing w:line="560" w:lineRule="exact"/>
        <w:jc w:val="left"/>
        <w:rPr>
          <w:rFonts w:ascii="黑体" w:eastAsia="黑体" w:hAnsi="黑体" w:cs="黑体" w:hint="eastAsia"/>
          <w:bCs/>
          <w:color w:val="000000"/>
          <w:kern w:val="0"/>
          <w:sz w:val="32"/>
          <w:szCs w:val="28"/>
        </w:rPr>
      </w:pPr>
      <w:r>
        <w:rPr>
          <w:rFonts w:ascii="黑体" w:eastAsia="黑体" w:hAnsi="黑体" w:cs="黑体" w:hint="eastAsia"/>
          <w:bCs/>
          <w:color w:val="000000"/>
          <w:kern w:val="0"/>
          <w:sz w:val="32"/>
          <w:szCs w:val="28"/>
        </w:rPr>
        <w:t>附件1</w:t>
      </w:r>
    </w:p>
    <w:p w14:paraId="710341A4" w14:textId="77777777" w:rsidR="00703CC0" w:rsidRDefault="00703CC0">
      <w:pPr>
        <w:spacing w:line="560" w:lineRule="exact"/>
        <w:jc w:val="left"/>
        <w:rPr>
          <w:rFonts w:ascii="黑体" w:eastAsia="黑体" w:hAnsi="黑体" w:cs="黑体" w:hint="eastAsia"/>
          <w:bCs/>
          <w:color w:val="000000"/>
          <w:kern w:val="0"/>
          <w:sz w:val="32"/>
          <w:szCs w:val="28"/>
        </w:rPr>
      </w:pPr>
    </w:p>
    <w:p w14:paraId="2DA04FF1" w14:textId="77777777" w:rsidR="00703CC0" w:rsidRDefault="00000000">
      <w:pPr>
        <w:spacing w:line="560" w:lineRule="exact"/>
        <w:jc w:val="center"/>
        <w:outlineLvl w:val="0"/>
        <w:rPr>
          <w:rFonts w:ascii="方正小标宋简体" w:eastAsia="方正小标宋简体" w:hAnsi="宋体" w:hint="eastAsia"/>
          <w:sz w:val="36"/>
          <w:szCs w:val="36"/>
        </w:rPr>
      </w:pPr>
      <w:bookmarkStart w:id="0" w:name="OLE_LINK3"/>
      <w:r>
        <w:rPr>
          <w:rFonts w:ascii="方正小标宋简体" w:eastAsia="方正小标宋简体" w:hAnsi="宋体" w:hint="eastAsia"/>
          <w:sz w:val="36"/>
          <w:szCs w:val="36"/>
        </w:rPr>
        <w:t>2025年湖北本科高校省级教学改革研究项目指南</w:t>
      </w:r>
    </w:p>
    <w:bookmarkEnd w:id="0"/>
    <w:p w14:paraId="65AE41B4" w14:textId="77777777" w:rsidR="00703CC0" w:rsidRDefault="00000000">
      <w:pPr>
        <w:spacing w:line="560" w:lineRule="exact"/>
        <w:jc w:val="center"/>
        <w:outlineLvl w:val="0"/>
        <w:rPr>
          <w:rFonts w:ascii="方正小标宋简体" w:eastAsia="方正小标宋简体" w:hAnsi="宋体" w:hint="eastAsia"/>
          <w:sz w:val="32"/>
          <w:szCs w:val="32"/>
        </w:rPr>
      </w:pPr>
      <w:r>
        <w:rPr>
          <w:rFonts w:ascii="方正小标宋简体" w:eastAsia="方正小标宋简体" w:hAnsi="宋体" w:hint="eastAsia"/>
          <w:sz w:val="36"/>
          <w:szCs w:val="36"/>
        </w:rPr>
        <w:t>（本科）</w:t>
      </w:r>
    </w:p>
    <w:p w14:paraId="6219DA43" w14:textId="77777777" w:rsidR="00703CC0" w:rsidRDefault="00703CC0">
      <w:pPr>
        <w:spacing w:line="560" w:lineRule="exact"/>
        <w:jc w:val="center"/>
        <w:outlineLvl w:val="0"/>
        <w:rPr>
          <w:rFonts w:ascii="方正小标宋简体" w:eastAsia="方正小标宋简体" w:hAnsi="宋体" w:hint="eastAsia"/>
          <w:sz w:val="36"/>
          <w:szCs w:val="36"/>
          <w:highlight w:val="yellow"/>
        </w:rPr>
      </w:pPr>
    </w:p>
    <w:p w14:paraId="0DBA376F" w14:textId="77777777" w:rsidR="00703CC0" w:rsidRDefault="00000000">
      <w:pPr>
        <w:adjustRightInd w:val="0"/>
        <w:snapToGrid w:val="0"/>
        <w:spacing w:line="560" w:lineRule="exact"/>
        <w:ind w:firstLineChars="200" w:firstLine="640"/>
        <w:rPr>
          <w:rFonts w:ascii="黑体" w:eastAsia="黑体" w:hAnsi="黑体" w:hint="eastAsia"/>
          <w:sz w:val="32"/>
          <w:szCs w:val="32"/>
        </w:rPr>
      </w:pPr>
      <w:r>
        <w:rPr>
          <w:rFonts w:ascii="黑体" w:eastAsia="黑体" w:hAnsi="黑体" w:hint="eastAsia"/>
          <w:sz w:val="32"/>
          <w:szCs w:val="32"/>
        </w:rPr>
        <w:t>一、高等教育发展战略及体制机制研究</w:t>
      </w:r>
    </w:p>
    <w:p w14:paraId="3CAB05A1" w14:textId="77777777" w:rsidR="00703CC0" w:rsidRDefault="00000000">
      <w:pPr>
        <w:adjustRightInd w:val="0"/>
        <w:snapToGrid w:val="0"/>
        <w:spacing w:line="560" w:lineRule="exact"/>
        <w:ind w:firstLineChars="200" w:firstLine="643"/>
        <w:rPr>
          <w:rFonts w:ascii="楷体_GB2312" w:eastAsia="楷体_GB2312" w:hAnsi="仿宋" w:hint="eastAsia"/>
          <w:b/>
          <w:sz w:val="32"/>
          <w:szCs w:val="32"/>
        </w:rPr>
      </w:pPr>
      <w:r>
        <w:rPr>
          <w:rFonts w:ascii="楷体_GB2312" w:eastAsia="楷体_GB2312" w:hAnsi="仿宋" w:hint="eastAsia"/>
          <w:b/>
          <w:sz w:val="32"/>
          <w:szCs w:val="32"/>
        </w:rPr>
        <w:t>1.高等教育发展战略及高校体制机制改革研究</w:t>
      </w:r>
    </w:p>
    <w:p w14:paraId="43725F17" w14:textId="77777777" w:rsidR="00703CC0" w:rsidRDefault="00000000">
      <w:pPr>
        <w:adjustRightInd w:val="0"/>
        <w:snapToGrid w:val="0"/>
        <w:spacing w:line="560" w:lineRule="exact"/>
        <w:ind w:firstLineChars="200" w:firstLine="640"/>
        <w:rPr>
          <w:rFonts w:ascii="仿宋" w:eastAsia="仿宋_GB2312" w:hAnsi="仿宋" w:hint="eastAsia"/>
          <w:sz w:val="32"/>
          <w:szCs w:val="32"/>
        </w:rPr>
      </w:pPr>
      <w:r>
        <w:rPr>
          <w:rFonts w:ascii="仿宋" w:eastAsia="仿宋_GB2312" w:hAnsi="仿宋" w:hint="eastAsia"/>
          <w:sz w:val="32"/>
          <w:szCs w:val="32"/>
        </w:rPr>
        <w:t>结合高等教育发展趋势和我省实际，开展湖北高等教育发展战略研究和湖北高等教育竞争力研究；湖北省高等教育规模、结构、质量、效益协调发展和可持续发展机制的研究与实践；湖北省高等教育内涵发展的路径研究；湖北省高等学校分类管理研究；高等学校办学定位与办学特色研究；高等学校创新产学研合作机制研究；高等学校科教融汇机制研究；高等教育人才培养与经济社会发展需要适配机制研究；高校治理体系和治理能力现代化研究；东中西部高校协作、对口支援提升办学能力方面研究；民办高校、独立学院的体制和运行机制的研究与实践；成人高等学历教育、自学考试学历教育人才培养目标定位、培养模式、质量保障体制机制研究。</w:t>
      </w:r>
    </w:p>
    <w:p w14:paraId="067F982F" w14:textId="77777777" w:rsidR="00703CC0" w:rsidRDefault="00000000">
      <w:pPr>
        <w:adjustRightInd w:val="0"/>
        <w:snapToGrid w:val="0"/>
        <w:spacing w:line="560" w:lineRule="exact"/>
        <w:ind w:firstLineChars="200" w:firstLine="643"/>
        <w:rPr>
          <w:rFonts w:ascii="楷体_GB2312" w:eastAsia="楷体_GB2312" w:hAnsi="仿宋" w:hint="eastAsia"/>
          <w:b/>
          <w:sz w:val="32"/>
          <w:szCs w:val="32"/>
        </w:rPr>
      </w:pPr>
      <w:r>
        <w:rPr>
          <w:rFonts w:ascii="楷体_GB2312" w:eastAsia="楷体_GB2312" w:hAnsi="仿宋" w:hint="eastAsia"/>
          <w:b/>
          <w:sz w:val="32"/>
          <w:szCs w:val="32"/>
        </w:rPr>
        <w:t>2.高等教育综合改革试点研究</w:t>
      </w:r>
    </w:p>
    <w:p w14:paraId="326884C9" w14:textId="77777777" w:rsidR="00703CC0" w:rsidRDefault="00000000">
      <w:pPr>
        <w:adjustRightInd w:val="0"/>
        <w:snapToGrid w:val="0"/>
        <w:spacing w:line="560" w:lineRule="exact"/>
        <w:ind w:firstLineChars="200" w:firstLine="640"/>
        <w:rPr>
          <w:rFonts w:ascii="仿宋" w:eastAsia="仿宋_GB2312" w:hAnsi="仿宋" w:hint="eastAsia"/>
          <w:sz w:val="32"/>
          <w:szCs w:val="32"/>
        </w:rPr>
      </w:pPr>
      <w:r>
        <w:rPr>
          <w:rFonts w:ascii="仿宋" w:eastAsia="仿宋_GB2312" w:hAnsi="仿宋" w:hint="eastAsia"/>
          <w:sz w:val="32"/>
          <w:szCs w:val="32"/>
        </w:rPr>
        <w:t>对接国家人才高地和人才聚集平台建设布局，开展“两个先行先试”，分类推进突破性牵引改革、创新性试点改革、筑基性体系关键性政策改革等方面改革创新研究与实践；强化有组织人</w:t>
      </w:r>
      <w:r>
        <w:rPr>
          <w:rFonts w:ascii="仿宋" w:eastAsia="仿宋_GB2312" w:hAnsi="仿宋" w:hint="eastAsia"/>
          <w:sz w:val="32"/>
          <w:szCs w:val="32"/>
        </w:rPr>
        <w:lastRenderedPageBreak/>
        <w:t>才培养、有组织科技创新、有组织服务国家和区域发展，凝练总结可复制可推广的体制机制和组织形态创新经验，牵引带动高等教育深层次、全方位改革创新发展方面的创新研究与实践。</w:t>
      </w:r>
    </w:p>
    <w:p w14:paraId="1A33161A" w14:textId="77777777" w:rsidR="00703CC0" w:rsidRDefault="00000000">
      <w:pPr>
        <w:adjustRightInd w:val="0"/>
        <w:snapToGrid w:val="0"/>
        <w:spacing w:line="560" w:lineRule="exact"/>
        <w:ind w:firstLineChars="200" w:firstLine="640"/>
        <w:rPr>
          <w:rFonts w:ascii="黑体" w:eastAsia="黑体" w:hAnsi="黑体" w:hint="eastAsia"/>
          <w:sz w:val="32"/>
          <w:szCs w:val="32"/>
        </w:rPr>
      </w:pPr>
      <w:r>
        <w:rPr>
          <w:rFonts w:ascii="黑体" w:eastAsia="黑体" w:hAnsi="黑体" w:hint="eastAsia"/>
          <w:sz w:val="32"/>
          <w:szCs w:val="32"/>
        </w:rPr>
        <w:t>二、“大思政”育人格局研究</w:t>
      </w:r>
    </w:p>
    <w:p w14:paraId="638C21D4" w14:textId="77777777" w:rsidR="00703CC0" w:rsidRDefault="00000000">
      <w:pPr>
        <w:adjustRightInd w:val="0"/>
        <w:snapToGrid w:val="0"/>
        <w:spacing w:line="560" w:lineRule="exact"/>
        <w:ind w:firstLineChars="200" w:firstLine="643"/>
        <w:rPr>
          <w:rFonts w:ascii="楷体_GB2312" w:eastAsia="楷体_GB2312" w:hAnsi="仿宋" w:hint="eastAsia"/>
          <w:b/>
          <w:sz w:val="32"/>
          <w:szCs w:val="32"/>
        </w:rPr>
      </w:pPr>
      <w:r>
        <w:rPr>
          <w:rFonts w:ascii="楷体_GB2312" w:eastAsia="楷体_GB2312" w:hAnsi="仿宋" w:hint="eastAsia"/>
          <w:b/>
          <w:sz w:val="32"/>
          <w:szCs w:val="32"/>
        </w:rPr>
        <w:t>3.“大思政课”教育改革研究</w:t>
      </w:r>
    </w:p>
    <w:p w14:paraId="0D26552E" w14:textId="77777777" w:rsidR="00703CC0" w:rsidRDefault="00000000">
      <w:pPr>
        <w:adjustRightInd w:val="0"/>
        <w:snapToGrid w:val="0"/>
        <w:spacing w:line="560" w:lineRule="exact"/>
        <w:ind w:firstLineChars="200" w:firstLine="640"/>
        <w:rPr>
          <w:rFonts w:ascii="仿宋" w:eastAsia="仿宋_GB2312" w:hAnsi="仿宋" w:hint="eastAsia"/>
          <w:sz w:val="32"/>
          <w:szCs w:val="32"/>
        </w:rPr>
      </w:pPr>
      <w:r>
        <w:rPr>
          <w:rFonts w:ascii="仿宋" w:eastAsia="仿宋_GB2312" w:hAnsi="仿宋" w:hint="eastAsia"/>
          <w:sz w:val="32"/>
          <w:szCs w:val="32"/>
        </w:rPr>
        <w:t>高校在深化“大思政课”教育教学改革，推进习近平新时代中国特色社会主义思想融入专业教育全过程等方面改革与研究；推进习近平法治思想“三进”等方面研究；“马工程”重点教材的应用与研究等；高校在系统推进新时代中国特色社会主义教育、社会主义核心价值观教育、法治教育、劳动教育、心理健康教育、中华优秀传统文化教育等研究与实践。</w:t>
      </w:r>
    </w:p>
    <w:p w14:paraId="2B47BE70" w14:textId="77777777" w:rsidR="00703CC0" w:rsidRDefault="00000000">
      <w:pPr>
        <w:adjustRightInd w:val="0"/>
        <w:snapToGrid w:val="0"/>
        <w:spacing w:line="560" w:lineRule="exact"/>
        <w:ind w:firstLineChars="200" w:firstLine="643"/>
        <w:rPr>
          <w:rFonts w:ascii="楷体_GB2312" w:eastAsia="楷体_GB2312" w:hAnsi="仿宋" w:hint="eastAsia"/>
          <w:b/>
          <w:sz w:val="32"/>
          <w:szCs w:val="32"/>
        </w:rPr>
      </w:pPr>
      <w:r>
        <w:rPr>
          <w:rFonts w:ascii="楷体_GB2312" w:eastAsia="楷体_GB2312" w:hAnsi="仿宋" w:hint="eastAsia"/>
          <w:b/>
          <w:sz w:val="32"/>
          <w:szCs w:val="32"/>
        </w:rPr>
        <w:t>4.课程思政研究</w:t>
      </w:r>
    </w:p>
    <w:p w14:paraId="5AA7301E" w14:textId="77777777" w:rsidR="00703CC0" w:rsidRDefault="00000000">
      <w:pPr>
        <w:adjustRightInd w:val="0"/>
        <w:snapToGrid w:val="0"/>
        <w:spacing w:line="560" w:lineRule="exact"/>
        <w:ind w:firstLineChars="200" w:firstLine="640"/>
        <w:rPr>
          <w:rFonts w:ascii="楷体_GB2312" w:eastAsia="仿宋_GB2312" w:hAnsi="仿宋" w:hint="eastAsia"/>
          <w:b/>
          <w:sz w:val="32"/>
          <w:szCs w:val="32"/>
        </w:rPr>
      </w:pPr>
      <w:r>
        <w:rPr>
          <w:rFonts w:ascii="仿宋" w:eastAsia="仿宋_GB2312" w:hAnsi="仿宋" w:hint="eastAsia"/>
          <w:sz w:val="32"/>
          <w:szCs w:val="32"/>
        </w:rPr>
        <w:t>新时代高校课程思政教学模式创新探索；结合学科专业特点完善专业类课程思政教学指南，推进思政元素融入课程教学的改革和创新研究；课程思政融入课堂教学全过程的方法途径探索与实践；推进教师思政能力建设的机制研究；课程思政建设质量评价体系和激励机制的探索与研究等。</w:t>
      </w:r>
    </w:p>
    <w:p w14:paraId="2D4E202F" w14:textId="77777777" w:rsidR="00703CC0" w:rsidRDefault="00000000">
      <w:pPr>
        <w:adjustRightInd w:val="0"/>
        <w:snapToGrid w:val="0"/>
        <w:spacing w:line="560" w:lineRule="exact"/>
        <w:ind w:firstLineChars="200" w:firstLine="640"/>
        <w:rPr>
          <w:rFonts w:ascii="黑体" w:eastAsia="黑体" w:hAnsi="黑体" w:hint="eastAsia"/>
          <w:sz w:val="32"/>
          <w:szCs w:val="32"/>
        </w:rPr>
      </w:pPr>
      <w:r>
        <w:rPr>
          <w:rFonts w:ascii="黑体" w:eastAsia="黑体" w:hAnsi="黑体" w:hint="eastAsia"/>
          <w:sz w:val="32"/>
          <w:szCs w:val="32"/>
        </w:rPr>
        <w:t>三、人才培养模式机制改革研究</w:t>
      </w:r>
    </w:p>
    <w:p w14:paraId="73999AFC" w14:textId="77777777" w:rsidR="00703CC0" w:rsidRDefault="00000000">
      <w:pPr>
        <w:adjustRightInd w:val="0"/>
        <w:snapToGrid w:val="0"/>
        <w:spacing w:line="560" w:lineRule="exact"/>
        <w:ind w:firstLineChars="200" w:firstLine="643"/>
        <w:rPr>
          <w:rFonts w:ascii="楷体_GB2312" w:eastAsia="楷体_GB2312" w:hAnsi="仿宋" w:hint="eastAsia"/>
          <w:b/>
          <w:sz w:val="32"/>
          <w:szCs w:val="32"/>
        </w:rPr>
      </w:pPr>
      <w:r>
        <w:rPr>
          <w:rFonts w:ascii="楷体_GB2312" w:eastAsia="楷体_GB2312" w:hAnsi="仿宋" w:hint="eastAsia"/>
          <w:b/>
          <w:sz w:val="32"/>
          <w:szCs w:val="32"/>
        </w:rPr>
        <w:t>5.人才培养模式改革与创新研究</w:t>
      </w:r>
    </w:p>
    <w:p w14:paraId="7EF1A26C" w14:textId="77777777" w:rsidR="00703CC0" w:rsidRDefault="00000000">
      <w:pPr>
        <w:adjustRightInd w:val="0"/>
        <w:snapToGrid w:val="0"/>
        <w:spacing w:line="560" w:lineRule="exact"/>
        <w:ind w:firstLineChars="200" w:firstLine="640"/>
        <w:rPr>
          <w:rFonts w:ascii="仿宋" w:eastAsia="仿宋_GB2312" w:hAnsi="仿宋" w:hint="eastAsia"/>
          <w:sz w:val="32"/>
          <w:szCs w:val="32"/>
        </w:rPr>
      </w:pPr>
      <w:r>
        <w:rPr>
          <w:rFonts w:ascii="仿宋" w:eastAsia="仿宋_GB2312" w:hAnsi="仿宋" w:hint="eastAsia"/>
          <w:sz w:val="32"/>
          <w:szCs w:val="32"/>
        </w:rPr>
        <w:t>科技发展、国家战略需求导向的人才培养模式改革；科研与教学融汇协同育人模式创新与探索；产学研用协同育人模式研究与实践；各类拔尖创新型、卓越人才培养模式改革与创新研究；</w:t>
      </w:r>
      <w:r>
        <w:rPr>
          <w:rFonts w:ascii="仿宋" w:eastAsia="仿宋_GB2312" w:hAnsi="仿宋" w:hint="eastAsia"/>
          <w:sz w:val="32"/>
          <w:szCs w:val="32"/>
        </w:rPr>
        <w:lastRenderedPageBreak/>
        <w:t>高校拔尖创业人才培养体系构建与实践；基础学科拔尖创新人才培养创新与实践；高校实施中学生英才计划方面的研究与实践；国际视野及国际化人才培养模式的研究与实践；“</w:t>
      </w:r>
      <w:r>
        <w:rPr>
          <w:rFonts w:ascii="仿宋" w:eastAsia="仿宋_GB2312" w:hAnsi="仿宋" w:hint="eastAsia"/>
          <w:sz w:val="32"/>
          <w:szCs w:val="32"/>
        </w:rPr>
        <w:t>3+2</w:t>
      </w:r>
      <w:r>
        <w:rPr>
          <w:rFonts w:ascii="仿宋" w:eastAsia="仿宋_GB2312" w:hAnsi="仿宋" w:hint="eastAsia"/>
          <w:sz w:val="32"/>
          <w:szCs w:val="32"/>
        </w:rPr>
        <w:t>”本科与高职联合培养模式研究；高校素质教育教学内容与体系建设研究；基于学生自主学习能力培养和个性化教学的人才培养模式研究与实践等。</w:t>
      </w:r>
    </w:p>
    <w:p w14:paraId="7E5329AB" w14:textId="77777777" w:rsidR="00703CC0" w:rsidRDefault="00000000">
      <w:pPr>
        <w:adjustRightInd w:val="0"/>
        <w:snapToGrid w:val="0"/>
        <w:spacing w:line="560" w:lineRule="exact"/>
        <w:ind w:firstLineChars="200" w:firstLine="643"/>
        <w:rPr>
          <w:rFonts w:ascii="楷体_GB2312" w:eastAsia="楷体_GB2312" w:hAnsi="仿宋" w:hint="eastAsia"/>
          <w:b/>
          <w:sz w:val="32"/>
          <w:szCs w:val="32"/>
        </w:rPr>
      </w:pPr>
      <w:r>
        <w:rPr>
          <w:rFonts w:ascii="楷体_GB2312" w:eastAsia="楷体_GB2312" w:hAnsi="仿宋" w:hint="eastAsia"/>
          <w:b/>
          <w:sz w:val="32"/>
          <w:szCs w:val="32"/>
        </w:rPr>
        <w:t>6.本科教育教学制度改革研究与实践</w:t>
      </w:r>
    </w:p>
    <w:p w14:paraId="4ACC69D2" w14:textId="77777777" w:rsidR="00703CC0" w:rsidRDefault="00000000">
      <w:pPr>
        <w:adjustRightInd w:val="0"/>
        <w:snapToGrid w:val="0"/>
        <w:spacing w:line="560" w:lineRule="exact"/>
        <w:ind w:firstLineChars="200" w:firstLine="640"/>
        <w:rPr>
          <w:rFonts w:ascii="仿宋" w:eastAsia="仿宋_GB2312" w:hAnsi="仿宋" w:hint="eastAsia"/>
          <w:sz w:val="32"/>
          <w:szCs w:val="32"/>
        </w:rPr>
      </w:pPr>
      <w:r>
        <w:rPr>
          <w:rFonts w:ascii="仿宋" w:eastAsia="仿宋_GB2312" w:hAnsi="仿宋" w:hint="eastAsia"/>
          <w:sz w:val="32"/>
          <w:szCs w:val="32"/>
        </w:rPr>
        <w:t>加强校际学分互认与转化实践等教育教学制度改革研究与实践；围绕辅修课程体系、学分标准和学士学位授予标准等开展辅修专业制度改革与实践，建立健全与主辅修制度相适应的联动机制的研究与实践；双学士学位人才培养试点、第二学士学位教学改革与管理制度研究；跨校联合人才培养、区域教学联合体、省部高校共建及对口支持协作等建设与研究；高校间优质教学资源的建设与共享机制研究；高等教育国际合作办学机制和培养模式的理论与实践研究等。</w:t>
      </w:r>
    </w:p>
    <w:p w14:paraId="17A71C05" w14:textId="77777777" w:rsidR="00703CC0" w:rsidRDefault="00000000">
      <w:pPr>
        <w:adjustRightInd w:val="0"/>
        <w:snapToGrid w:val="0"/>
        <w:spacing w:line="560" w:lineRule="exact"/>
        <w:ind w:firstLineChars="200" w:firstLine="640"/>
        <w:rPr>
          <w:rFonts w:ascii="黑体" w:eastAsia="黑体" w:hAnsi="黑体" w:hint="eastAsia"/>
          <w:sz w:val="32"/>
          <w:szCs w:val="32"/>
        </w:rPr>
      </w:pPr>
      <w:r>
        <w:rPr>
          <w:rFonts w:ascii="黑体" w:eastAsia="黑体" w:hAnsi="黑体" w:hint="eastAsia"/>
          <w:sz w:val="32"/>
          <w:szCs w:val="32"/>
        </w:rPr>
        <w:t>四、“四新”建设改革与实践研究</w:t>
      </w:r>
    </w:p>
    <w:p w14:paraId="0250A617" w14:textId="77777777" w:rsidR="00703CC0" w:rsidRDefault="00000000">
      <w:pPr>
        <w:adjustRightInd w:val="0"/>
        <w:snapToGrid w:val="0"/>
        <w:spacing w:line="560" w:lineRule="exact"/>
        <w:ind w:firstLineChars="200" w:firstLine="643"/>
        <w:rPr>
          <w:rFonts w:ascii="楷体_GB2312" w:eastAsia="楷体_GB2312" w:hAnsi="仿宋" w:hint="eastAsia"/>
          <w:b/>
          <w:sz w:val="32"/>
          <w:szCs w:val="32"/>
        </w:rPr>
      </w:pPr>
      <w:r>
        <w:rPr>
          <w:rFonts w:ascii="楷体_GB2312" w:eastAsia="楷体_GB2312" w:hAnsi="仿宋" w:hint="eastAsia"/>
          <w:b/>
          <w:sz w:val="32"/>
          <w:szCs w:val="32"/>
        </w:rPr>
        <w:t>7.新工科研究与改革实践</w:t>
      </w:r>
    </w:p>
    <w:p w14:paraId="7B5D8FB2" w14:textId="77777777" w:rsidR="00703CC0" w:rsidRDefault="00000000">
      <w:pPr>
        <w:pStyle w:val="a5"/>
        <w:widowControl/>
        <w:shd w:val="clear" w:color="auto" w:fill="FFFFFF"/>
        <w:spacing w:beforeAutospacing="0" w:afterAutospacing="0" w:line="560" w:lineRule="exact"/>
        <w:ind w:firstLineChars="200" w:firstLine="640"/>
        <w:rPr>
          <w:rFonts w:ascii="楷体_GB2312" w:eastAsia="楷体_GB2312" w:hAnsi="仿宋" w:hint="eastAsia"/>
          <w:b/>
          <w:sz w:val="32"/>
          <w:szCs w:val="32"/>
        </w:rPr>
      </w:pPr>
      <w:r>
        <w:rPr>
          <w:rFonts w:ascii="仿宋" w:eastAsia="仿宋_GB2312" w:hAnsi="仿宋" w:cstheme="minorBidi" w:hint="eastAsia"/>
          <w:kern w:val="2"/>
          <w:sz w:val="32"/>
          <w:szCs w:val="32"/>
        </w:rPr>
        <w:t>工程教育的新理念：结合工程教育发展的历史与现实、国内外工程教育改革的经验和教训，分析研究新工科的内涵、特征、规律和发展趋势等，提出工程教育改革创新的理念和思路；学科专业的新结构：面向新经济发展需要、面向未来、面向世界，开展新兴工科专业的研究与探索，对传统工科专业进行更新升级等；</w:t>
      </w:r>
      <w:r>
        <w:rPr>
          <w:rFonts w:ascii="仿宋" w:eastAsia="仿宋_GB2312" w:hAnsi="仿宋" w:cstheme="minorBidi" w:hint="eastAsia"/>
          <w:kern w:val="2"/>
          <w:sz w:val="32"/>
          <w:szCs w:val="32"/>
        </w:rPr>
        <w:lastRenderedPageBreak/>
        <w:t>人才培养的新模式：在总结卓越工程师教育培养计划、</w:t>
      </w:r>
      <w:r>
        <w:rPr>
          <w:rFonts w:ascii="仿宋" w:eastAsia="仿宋_GB2312" w:hAnsi="仿宋" w:cstheme="minorBidi" w:hint="eastAsia"/>
          <w:kern w:val="2"/>
          <w:sz w:val="32"/>
          <w:szCs w:val="32"/>
        </w:rPr>
        <w:t>CDIO</w:t>
      </w:r>
      <w:r>
        <w:rPr>
          <w:rFonts w:ascii="仿宋" w:eastAsia="仿宋_GB2312" w:hAnsi="仿宋" w:cstheme="minorBidi" w:hint="eastAsia"/>
          <w:kern w:val="2"/>
          <w:sz w:val="32"/>
          <w:szCs w:val="32"/>
        </w:rPr>
        <w:t>等工程教育人才培养模式改革经验的基础上，开展深化产教融合、校企合作的体制机制和人才培养模式改革研究和实践；教育教学的新质量：在完善中国特色、国际实质等效的工程教育专业认证制度的基础上，研究制订新兴工科专业教学质量标准，开展多维度的教育教学质量评价等。分类发展的新体系：分析研究高校分类发展、工程人才分类培养的体系结构，提出推进工程教育办出特色和水平的宏观政策、组织体系和运行机制等。</w:t>
      </w:r>
    </w:p>
    <w:p w14:paraId="7D894606" w14:textId="77777777" w:rsidR="00703CC0" w:rsidRDefault="00000000">
      <w:pPr>
        <w:adjustRightInd w:val="0"/>
        <w:snapToGrid w:val="0"/>
        <w:spacing w:line="560" w:lineRule="exact"/>
        <w:ind w:firstLineChars="200" w:firstLine="643"/>
        <w:rPr>
          <w:rFonts w:ascii="楷体_GB2312" w:eastAsia="楷体_GB2312" w:hAnsi="仿宋" w:hint="eastAsia"/>
          <w:b/>
          <w:sz w:val="32"/>
          <w:szCs w:val="32"/>
        </w:rPr>
      </w:pPr>
      <w:r>
        <w:rPr>
          <w:rFonts w:ascii="楷体_GB2312" w:eastAsia="楷体_GB2312" w:hAnsi="仿宋" w:hint="eastAsia"/>
          <w:b/>
          <w:sz w:val="32"/>
          <w:szCs w:val="32"/>
        </w:rPr>
        <w:t>8.新医科研究与改革实践</w:t>
      </w:r>
    </w:p>
    <w:p w14:paraId="3B093583" w14:textId="77777777" w:rsidR="00703CC0" w:rsidRDefault="00000000">
      <w:pPr>
        <w:adjustRightInd w:val="0"/>
        <w:snapToGrid w:val="0"/>
        <w:spacing w:line="560" w:lineRule="exact"/>
        <w:ind w:firstLineChars="200" w:firstLine="640"/>
        <w:rPr>
          <w:rFonts w:ascii="仿宋" w:eastAsia="仿宋_GB2312" w:hAnsi="仿宋" w:hint="eastAsia"/>
          <w:sz w:val="32"/>
          <w:szCs w:val="32"/>
        </w:rPr>
      </w:pPr>
      <w:r>
        <w:rPr>
          <w:rFonts w:ascii="仿宋" w:eastAsia="仿宋_GB2312" w:hAnsi="仿宋" w:hint="eastAsia"/>
          <w:sz w:val="32"/>
          <w:szCs w:val="32"/>
        </w:rPr>
        <w:t>深化医教协同体制机制研究；卓越医师人才培养研究与实践；医教协同的临床医学人才培养改革与实践；新医科人才培养跨学科培养平台、跨学科课程模块建设研究与实践；全科医师培养研究与实践；中医师承关系培养改革与实践；医学人才专业结构、人才类型结构与区域经济结构相衔接的研究；医学教育课程体系研究；医药卫生体制改革与医学教育协调发展的研究；医学教育实践教学体系及实践教学内容、方法和手段改革的研究；新医科教材体系建设研究；医学生职业能力与职业素养养成研究；附属医院、临床教学基地建设方面研究；相关医学教学改革建设推进机制研究。</w:t>
      </w:r>
    </w:p>
    <w:p w14:paraId="2E21E621" w14:textId="77777777" w:rsidR="00703CC0" w:rsidRDefault="00000000">
      <w:pPr>
        <w:adjustRightInd w:val="0"/>
        <w:snapToGrid w:val="0"/>
        <w:spacing w:line="560" w:lineRule="exact"/>
        <w:ind w:firstLineChars="200" w:firstLine="643"/>
        <w:rPr>
          <w:rFonts w:ascii="楷体_GB2312" w:eastAsia="楷体_GB2312" w:hAnsi="仿宋" w:hint="eastAsia"/>
          <w:b/>
          <w:sz w:val="32"/>
          <w:szCs w:val="32"/>
        </w:rPr>
      </w:pPr>
      <w:r>
        <w:rPr>
          <w:rFonts w:ascii="楷体_GB2312" w:eastAsia="楷体_GB2312" w:hAnsi="仿宋" w:hint="eastAsia"/>
          <w:b/>
          <w:sz w:val="32"/>
          <w:szCs w:val="32"/>
        </w:rPr>
        <w:t>9.新农科研究与改革实践</w:t>
      </w:r>
    </w:p>
    <w:p w14:paraId="51088F12" w14:textId="77777777" w:rsidR="00703CC0" w:rsidRDefault="00000000">
      <w:pPr>
        <w:adjustRightInd w:val="0"/>
        <w:snapToGrid w:val="0"/>
        <w:spacing w:line="560" w:lineRule="exact"/>
        <w:ind w:firstLineChars="200" w:firstLine="640"/>
        <w:rPr>
          <w:rFonts w:ascii="仿宋" w:eastAsia="仿宋_GB2312" w:hAnsi="仿宋" w:hint="eastAsia"/>
          <w:sz w:val="32"/>
          <w:szCs w:val="32"/>
        </w:rPr>
      </w:pPr>
      <w:r>
        <w:rPr>
          <w:rFonts w:ascii="仿宋" w:eastAsia="仿宋_GB2312" w:hAnsi="仿宋" w:hint="eastAsia"/>
          <w:sz w:val="32"/>
          <w:szCs w:val="32"/>
        </w:rPr>
        <w:t>新农科建设改革与发展研究；新农科建设政策与支撑体系研究；基于四个面向的知农爱农新型人才需求研究；新型农林人才</w:t>
      </w:r>
      <w:r>
        <w:rPr>
          <w:rFonts w:ascii="仿宋" w:eastAsia="仿宋_GB2312" w:hAnsi="仿宋" w:hint="eastAsia"/>
          <w:sz w:val="32"/>
          <w:szCs w:val="32"/>
        </w:rPr>
        <w:lastRenderedPageBreak/>
        <w:t>核心能力体系研究；新农科建设绩效评价研究；新兴涉农专业建设探索与实践；传统涉农专业改造提升改革与实践；面向新农科的农林类专业三级认证体系构建；农林类一流专业建设标准研制；农林人才思政教育与“大国三农”教育实践；新农科多样化人才培养模式创新实践；多学科交叉融合的农林人才培养模式机制创新实践；新农科课程体系与教材建设；面向基层的新型农林人才培养实践；面向新农科的实践教育体系构建；农林创新创业教育与实践；农林类一流课程建设标准研究；一校一所科教协同育人探索与实践；服务乡村振兴战略模式研究与实践；高等农林教育国际化研究与实践。</w:t>
      </w:r>
    </w:p>
    <w:p w14:paraId="7565294D" w14:textId="77777777" w:rsidR="00703CC0" w:rsidRDefault="00000000">
      <w:pPr>
        <w:adjustRightInd w:val="0"/>
        <w:snapToGrid w:val="0"/>
        <w:spacing w:line="560" w:lineRule="exact"/>
        <w:ind w:firstLineChars="200" w:firstLine="643"/>
        <w:rPr>
          <w:rFonts w:ascii="楷体_GB2312" w:eastAsia="楷体_GB2312" w:hAnsi="仿宋" w:hint="eastAsia"/>
          <w:b/>
          <w:sz w:val="32"/>
          <w:szCs w:val="32"/>
        </w:rPr>
      </w:pPr>
      <w:r>
        <w:rPr>
          <w:rFonts w:ascii="楷体_GB2312" w:eastAsia="楷体_GB2312" w:hAnsi="仿宋" w:hint="eastAsia"/>
          <w:b/>
          <w:sz w:val="32"/>
          <w:szCs w:val="32"/>
        </w:rPr>
        <w:t>10.新文科研究与改革实践</w:t>
      </w:r>
    </w:p>
    <w:p w14:paraId="4119F4CE" w14:textId="77777777" w:rsidR="00703CC0" w:rsidRDefault="00000000">
      <w:pPr>
        <w:adjustRightInd w:val="0"/>
        <w:snapToGrid w:val="0"/>
        <w:spacing w:line="560" w:lineRule="exact"/>
        <w:ind w:firstLineChars="200" w:firstLine="640"/>
        <w:rPr>
          <w:rFonts w:ascii="仿宋" w:eastAsia="仿宋_GB2312" w:hAnsi="仿宋" w:hint="eastAsia"/>
          <w:sz w:val="32"/>
          <w:szCs w:val="32"/>
        </w:rPr>
      </w:pPr>
      <w:r>
        <w:rPr>
          <w:rFonts w:ascii="仿宋" w:eastAsia="仿宋_GB2312" w:hAnsi="仿宋" w:hint="eastAsia"/>
          <w:sz w:val="32"/>
          <w:szCs w:val="32"/>
        </w:rPr>
        <w:t>新文科建设发展理念与改革发展研究；新文科建设政策与支撑体系研究；新时代文科专业结构优化研究与实践；原有文科专业改造提升改革与实践；新兴文科专业建设探索与实践；新文科课程体系和教材体系建设实践；文科复合型人才培养创新与实践；高素质涉外人才培养创新与实践；新文科创新创业教育与实践；人文社科等领域实务型人才协同培养机制研究；文科专业类教学要点研究与实践；新时代大学英语教学改革研究实践；新闻、法学领域专业教师互聘互派与人才培养研究；实战型文科人才培养研究；新文科教师专业发展探索与实践；面向新文科的文科专业三级认证体系构建研究。</w:t>
      </w:r>
    </w:p>
    <w:p w14:paraId="435E6C5B" w14:textId="77777777" w:rsidR="00703CC0" w:rsidRDefault="00000000">
      <w:pPr>
        <w:adjustRightInd w:val="0"/>
        <w:snapToGrid w:val="0"/>
        <w:spacing w:line="560" w:lineRule="exact"/>
        <w:ind w:firstLineChars="200" w:firstLine="640"/>
        <w:rPr>
          <w:rFonts w:ascii="黑体" w:eastAsia="黑体" w:hAnsi="黑体" w:hint="eastAsia"/>
          <w:sz w:val="32"/>
          <w:szCs w:val="32"/>
        </w:rPr>
      </w:pPr>
      <w:r>
        <w:rPr>
          <w:rFonts w:ascii="黑体" w:eastAsia="黑体" w:hAnsi="黑体" w:hint="eastAsia"/>
          <w:sz w:val="32"/>
          <w:szCs w:val="32"/>
        </w:rPr>
        <w:t>五、教学“新基建”综合改革研究与实践</w:t>
      </w:r>
    </w:p>
    <w:p w14:paraId="538B1D75" w14:textId="77777777" w:rsidR="00703CC0" w:rsidRDefault="00000000">
      <w:pPr>
        <w:adjustRightInd w:val="0"/>
        <w:snapToGrid w:val="0"/>
        <w:spacing w:line="560" w:lineRule="exact"/>
        <w:ind w:firstLineChars="200" w:firstLine="643"/>
        <w:rPr>
          <w:rFonts w:ascii="楷体_GB2312" w:eastAsia="楷体_GB2312" w:hAnsi="仿宋" w:hint="eastAsia"/>
          <w:b/>
          <w:sz w:val="32"/>
          <w:szCs w:val="32"/>
        </w:rPr>
      </w:pPr>
      <w:r>
        <w:rPr>
          <w:rFonts w:ascii="楷体_GB2312" w:eastAsia="楷体_GB2312" w:hAnsi="仿宋"/>
          <w:b/>
          <w:sz w:val="32"/>
          <w:szCs w:val="32"/>
        </w:rPr>
        <w:lastRenderedPageBreak/>
        <w:t>1</w:t>
      </w:r>
      <w:r>
        <w:rPr>
          <w:rFonts w:ascii="楷体_GB2312" w:eastAsia="楷体_GB2312" w:hAnsi="仿宋" w:hint="eastAsia"/>
          <w:b/>
          <w:sz w:val="32"/>
          <w:szCs w:val="32"/>
        </w:rPr>
        <w:t>1</w:t>
      </w:r>
      <w:r>
        <w:rPr>
          <w:rFonts w:ascii="楷体_GB2312" w:eastAsia="楷体_GB2312" w:hAnsi="仿宋"/>
          <w:b/>
          <w:sz w:val="32"/>
          <w:szCs w:val="32"/>
        </w:rPr>
        <w:t>.</w:t>
      </w:r>
      <w:r>
        <w:rPr>
          <w:rFonts w:ascii="楷体_GB2312" w:eastAsia="楷体_GB2312" w:hAnsi="仿宋" w:hint="eastAsia"/>
          <w:b/>
          <w:sz w:val="32"/>
          <w:szCs w:val="32"/>
        </w:rPr>
        <w:t>专业建设改革研究与实践</w:t>
      </w:r>
    </w:p>
    <w:p w14:paraId="0711FF27" w14:textId="77777777" w:rsidR="00703CC0" w:rsidRDefault="00000000">
      <w:pPr>
        <w:adjustRightInd w:val="0"/>
        <w:snapToGrid w:val="0"/>
        <w:spacing w:line="560" w:lineRule="exact"/>
        <w:ind w:firstLineChars="200" w:firstLine="640"/>
        <w:rPr>
          <w:rFonts w:ascii="仿宋" w:eastAsia="仿宋_GB2312" w:hAnsi="仿宋" w:hint="eastAsia"/>
          <w:sz w:val="32"/>
          <w:szCs w:val="32"/>
        </w:rPr>
      </w:pPr>
      <w:r>
        <w:rPr>
          <w:rFonts w:ascii="仿宋" w:eastAsia="仿宋_GB2312" w:hAnsi="仿宋" w:hint="eastAsia"/>
          <w:sz w:val="32"/>
          <w:szCs w:val="32"/>
        </w:rPr>
        <w:t>学科专业设置与区域发展匹配机制的研究与实践；面向新兴战略产业的学科专业与人才培养快速响应机制探索与实践；一流本科专业建设研究；“微专业”建设的探索与实践；国内外大学本科专业建设特色比较研究；高等学校专业群建设研究、品牌特色专业建设及紧缺专业和新办专业建设研究；适应湖北区域经济社会发展要求的优势、对接区域产业链建立产教融合特色优势专业（群）建设与改革研究；高校专业设置、调整、优化、管理、评估和评价机制的研究与实践；人才培养与产业需求对接的监测预警机制研究；符合湖北、区域、行业发展需要的专业结构优化研究与实践；面向湖北工业、产业集群发展需要的专业建设研究与实践等。</w:t>
      </w:r>
    </w:p>
    <w:p w14:paraId="52E5A283" w14:textId="77777777" w:rsidR="00703CC0" w:rsidRDefault="00000000">
      <w:pPr>
        <w:adjustRightInd w:val="0"/>
        <w:snapToGrid w:val="0"/>
        <w:spacing w:line="560" w:lineRule="exact"/>
        <w:ind w:firstLineChars="200" w:firstLine="643"/>
        <w:rPr>
          <w:rFonts w:ascii="楷体_GB2312" w:eastAsia="楷体_GB2312" w:hAnsi="仿宋" w:hint="eastAsia"/>
          <w:b/>
          <w:sz w:val="32"/>
          <w:szCs w:val="32"/>
        </w:rPr>
      </w:pPr>
      <w:r>
        <w:rPr>
          <w:rFonts w:ascii="楷体_GB2312" w:eastAsia="楷体_GB2312" w:hAnsi="仿宋" w:hint="eastAsia"/>
          <w:b/>
          <w:sz w:val="32"/>
          <w:szCs w:val="32"/>
        </w:rPr>
        <w:t>12.课程、教材建设研究</w:t>
      </w:r>
    </w:p>
    <w:p w14:paraId="2D604CB6" w14:textId="77777777" w:rsidR="00703CC0" w:rsidRDefault="00000000">
      <w:pPr>
        <w:adjustRightInd w:val="0"/>
        <w:snapToGrid w:val="0"/>
        <w:spacing w:line="560" w:lineRule="exact"/>
        <w:ind w:firstLineChars="200" w:firstLine="640"/>
        <w:rPr>
          <w:rFonts w:ascii="仿宋" w:eastAsia="仿宋_GB2312" w:hAnsi="仿宋" w:hint="eastAsia"/>
          <w:sz w:val="32"/>
          <w:szCs w:val="32"/>
        </w:rPr>
      </w:pPr>
      <w:r>
        <w:rPr>
          <w:rFonts w:ascii="仿宋" w:eastAsia="仿宋_GB2312" w:hAnsi="仿宋" w:hint="eastAsia"/>
          <w:sz w:val="32"/>
          <w:szCs w:val="32"/>
        </w:rPr>
        <w:t>创新课程知识体系建设研究；素质教育课程体系及相关教材建设与研究；一流本科课程建设与应用的理论研究与实践</w:t>
      </w:r>
      <w:r>
        <w:rPr>
          <w:rFonts w:ascii="仿宋" w:eastAsia="仿宋_GB2312" w:hAnsi="仿宋" w:hint="eastAsia"/>
          <w:sz w:val="32"/>
          <w:szCs w:val="32"/>
        </w:rPr>
        <w:t>;</w:t>
      </w:r>
      <w:r>
        <w:rPr>
          <w:rFonts w:ascii="仿宋" w:eastAsia="仿宋_GB2312" w:hAnsi="仿宋" w:hint="eastAsia"/>
          <w:sz w:val="32"/>
          <w:szCs w:val="32"/>
        </w:rPr>
        <w:t>基于能力图谱、知识图谱的课程、教材、实验一体化建设与探索研究；区域高校课程联盟运作体系研究与实践</w:t>
      </w:r>
      <w:r>
        <w:rPr>
          <w:rFonts w:ascii="仿宋" w:eastAsia="仿宋_GB2312" w:hAnsi="仿宋" w:hint="eastAsia"/>
          <w:sz w:val="32"/>
          <w:szCs w:val="32"/>
        </w:rPr>
        <w:t>;</w:t>
      </w:r>
      <w:r>
        <w:rPr>
          <w:rFonts w:ascii="仿宋" w:eastAsia="仿宋_GB2312" w:hAnsi="仿宋" w:hint="eastAsia"/>
          <w:sz w:val="32"/>
          <w:szCs w:val="32"/>
        </w:rPr>
        <w:t>高校双语课程建设及双语教学改革的研究；国内外优质课程教学资源选用机制、办法研究；高校课程的准入、建设、评价与淘汰机制研究；产学合作新课程的开发研究；国家级规划教材建设研究；经典传承教材、示范性新形态教材，多介质、数字化、智能化、快速迭代的新形态教材建设；数字教材建设；国家急需和关键领域核心教材建设；</w:t>
      </w:r>
      <w:r>
        <w:rPr>
          <w:rFonts w:ascii="仿宋" w:eastAsia="仿宋_GB2312" w:hAnsi="仿宋" w:hint="eastAsia"/>
          <w:sz w:val="32"/>
          <w:szCs w:val="32"/>
        </w:rPr>
        <w:lastRenderedPageBreak/>
        <w:t>101</w:t>
      </w:r>
      <w:r>
        <w:rPr>
          <w:rFonts w:ascii="仿宋" w:eastAsia="仿宋_GB2312" w:hAnsi="仿宋" w:hint="eastAsia"/>
          <w:sz w:val="32"/>
          <w:szCs w:val="32"/>
        </w:rPr>
        <w:t>计划核心教材建设等。</w:t>
      </w:r>
    </w:p>
    <w:p w14:paraId="2D153126" w14:textId="77777777" w:rsidR="00703CC0" w:rsidRDefault="00000000">
      <w:pPr>
        <w:adjustRightInd w:val="0"/>
        <w:snapToGrid w:val="0"/>
        <w:spacing w:line="560" w:lineRule="exact"/>
        <w:ind w:firstLineChars="200" w:firstLine="643"/>
        <w:rPr>
          <w:rFonts w:ascii="楷体_GB2312" w:eastAsia="楷体_GB2312" w:hAnsi="仿宋" w:hint="eastAsia"/>
          <w:b/>
          <w:sz w:val="32"/>
          <w:szCs w:val="32"/>
        </w:rPr>
      </w:pPr>
      <w:r>
        <w:rPr>
          <w:rFonts w:ascii="楷体_GB2312" w:eastAsia="楷体_GB2312" w:hAnsi="仿宋" w:hint="eastAsia"/>
          <w:b/>
          <w:sz w:val="32"/>
          <w:szCs w:val="32"/>
        </w:rPr>
        <w:t>13.教师队伍建设与教师教学能力提升</w:t>
      </w:r>
    </w:p>
    <w:p w14:paraId="70D84753" w14:textId="77777777" w:rsidR="00703CC0" w:rsidRDefault="00000000">
      <w:pPr>
        <w:adjustRightInd w:val="0"/>
        <w:snapToGrid w:val="0"/>
        <w:spacing w:line="560" w:lineRule="exact"/>
        <w:ind w:firstLineChars="200" w:firstLine="640"/>
        <w:rPr>
          <w:rFonts w:ascii="仿宋" w:eastAsia="仿宋_GB2312" w:hAnsi="仿宋" w:hint="eastAsia"/>
          <w:sz w:val="32"/>
          <w:szCs w:val="32"/>
        </w:rPr>
      </w:pPr>
      <w:r>
        <w:rPr>
          <w:rFonts w:ascii="仿宋" w:eastAsia="仿宋_GB2312" w:hAnsi="仿宋" w:hint="eastAsia"/>
          <w:sz w:val="32"/>
          <w:szCs w:val="32"/>
        </w:rPr>
        <w:t>教学团队建设与优秀教学团队形成机制研究；基层教学组织建设研究；高校教师教学能力、实践能力提升方式与途径研究；高校教师发展中心建设与中青年教师培训研究与实践；完善教授为本科生授课的机制研究与实践；高校教风与学风建设；科学合理的高校教师教学能力评价办法探索与实践；高校教师教学激励机制研究；教学名师培养、名师工作室建设；“双师型”教师队伍建设与管理研究等。</w:t>
      </w:r>
    </w:p>
    <w:p w14:paraId="14A563A5" w14:textId="77777777" w:rsidR="00703CC0" w:rsidRDefault="00000000">
      <w:pPr>
        <w:adjustRightInd w:val="0"/>
        <w:snapToGrid w:val="0"/>
        <w:spacing w:line="560" w:lineRule="exact"/>
        <w:ind w:firstLineChars="200" w:firstLine="643"/>
        <w:rPr>
          <w:rFonts w:ascii="楷体_GB2312" w:eastAsia="楷体_GB2312" w:hAnsi="仿宋" w:hint="eastAsia"/>
          <w:b/>
          <w:sz w:val="32"/>
          <w:szCs w:val="32"/>
        </w:rPr>
      </w:pPr>
      <w:r>
        <w:rPr>
          <w:rFonts w:ascii="楷体_GB2312" w:eastAsia="楷体_GB2312" w:hAnsi="仿宋" w:hint="eastAsia"/>
          <w:b/>
          <w:sz w:val="32"/>
          <w:szCs w:val="32"/>
        </w:rPr>
        <w:t>14.教学内容更新与教学方法改革</w:t>
      </w:r>
    </w:p>
    <w:p w14:paraId="21699A22" w14:textId="77777777" w:rsidR="00703CC0" w:rsidRDefault="00000000">
      <w:pPr>
        <w:adjustRightInd w:val="0"/>
        <w:snapToGrid w:val="0"/>
        <w:spacing w:line="560" w:lineRule="exact"/>
        <w:ind w:firstLineChars="200" w:firstLine="640"/>
        <w:rPr>
          <w:rFonts w:ascii="仿宋" w:eastAsia="仿宋_GB2312" w:hAnsi="仿宋" w:hint="eastAsia"/>
          <w:sz w:val="32"/>
          <w:szCs w:val="32"/>
        </w:rPr>
      </w:pPr>
      <w:r>
        <w:rPr>
          <w:rFonts w:ascii="仿宋" w:eastAsia="仿宋_GB2312" w:hAnsi="仿宋" w:hint="eastAsia"/>
          <w:sz w:val="32"/>
          <w:szCs w:val="32"/>
        </w:rPr>
        <w:t>基于创新人才培养的教学内容更新研究；高校课堂教学模式创新研究；基于能力培养的高校课堂教学手段与方法改革研究；互联网背景下的通识教育研究；高等学校教学资源库和试题库建设与应用；与职业（行业）标准相衔接的课程与教学内容体系探索；高校课程体系整体优化与教学内容改革的研究与实践；高校案例式、启发式、探究式、讨论式等教学方法的探索与实践；公共基础课教学改革研究；基于移动互联网络环境的学习模式研究等。</w:t>
      </w:r>
    </w:p>
    <w:p w14:paraId="405F818C" w14:textId="77777777" w:rsidR="00703CC0" w:rsidRDefault="00000000">
      <w:pPr>
        <w:adjustRightInd w:val="0"/>
        <w:snapToGrid w:val="0"/>
        <w:spacing w:line="560" w:lineRule="exact"/>
        <w:ind w:firstLineChars="200" w:firstLine="643"/>
        <w:rPr>
          <w:rFonts w:ascii="楷体_GB2312" w:eastAsia="楷体_GB2312" w:hAnsi="仿宋" w:hint="eastAsia"/>
          <w:b/>
          <w:sz w:val="32"/>
          <w:szCs w:val="32"/>
        </w:rPr>
      </w:pPr>
      <w:r>
        <w:rPr>
          <w:rFonts w:ascii="楷体_GB2312" w:eastAsia="楷体_GB2312" w:hAnsi="仿宋" w:hint="eastAsia"/>
          <w:b/>
          <w:sz w:val="32"/>
          <w:szCs w:val="32"/>
        </w:rPr>
        <w:t>15.实践教学改革与大学生创新能力培养</w:t>
      </w:r>
    </w:p>
    <w:p w14:paraId="67C34089" w14:textId="77777777" w:rsidR="00703CC0" w:rsidRDefault="00000000">
      <w:pPr>
        <w:adjustRightInd w:val="0"/>
        <w:snapToGrid w:val="0"/>
        <w:spacing w:line="560" w:lineRule="exact"/>
        <w:ind w:firstLineChars="200" w:firstLine="640"/>
        <w:rPr>
          <w:rFonts w:ascii="仿宋" w:eastAsia="仿宋_GB2312" w:hAnsi="仿宋" w:hint="eastAsia"/>
          <w:sz w:val="32"/>
          <w:szCs w:val="32"/>
        </w:rPr>
      </w:pPr>
      <w:r>
        <w:rPr>
          <w:rFonts w:ascii="仿宋" w:eastAsia="仿宋_GB2312" w:hAnsi="仿宋" w:hint="eastAsia"/>
          <w:sz w:val="32"/>
          <w:szCs w:val="32"/>
        </w:rPr>
        <w:t>高校实践教学模式及运行机制创新研究；实践课教师队伍建设；实践教育基地建设模式的研究与实践；实验教学示范中心、虚拟仿真实验中心、工程训练中心、实习实训基地的建设、管理</w:t>
      </w:r>
      <w:r>
        <w:rPr>
          <w:rFonts w:ascii="仿宋" w:eastAsia="仿宋_GB2312" w:hAnsi="仿宋" w:hint="eastAsia"/>
          <w:sz w:val="32"/>
          <w:szCs w:val="32"/>
        </w:rPr>
        <w:lastRenderedPageBreak/>
        <w:t>与运行机制研究；大学生实践能力培养、毕业实习、毕业设计（论文）等各实践教学环节的建设与管理研究；大学生创新创业教育与就业、创业能力研究；创新创业教育课程体系建设、创新创业实践平台建设、创新创业教育实践、创新创业教育管理改革等；大学生科技创新竞赛活动组织管理模式研究；大学生创新活动基地建设和运行管理机制研究；第二课堂与大学生创新能力培养研究；以科技为支撑的高校师生创新创业研究与实践；服务国家战略的国际化创新人才培养与实践等。</w:t>
      </w:r>
    </w:p>
    <w:p w14:paraId="4BA7454C" w14:textId="77777777" w:rsidR="00703CC0" w:rsidRDefault="00000000">
      <w:pPr>
        <w:adjustRightInd w:val="0"/>
        <w:snapToGrid w:val="0"/>
        <w:spacing w:line="560" w:lineRule="exact"/>
        <w:ind w:firstLineChars="200" w:firstLine="640"/>
        <w:rPr>
          <w:rFonts w:ascii="黑体" w:eastAsia="黑体" w:hAnsi="黑体" w:cs="黑体" w:hint="eastAsia"/>
          <w:bCs/>
          <w:sz w:val="32"/>
          <w:szCs w:val="32"/>
        </w:rPr>
      </w:pPr>
      <w:r>
        <w:rPr>
          <w:rFonts w:ascii="黑体" w:eastAsia="黑体" w:hAnsi="黑体" w:cs="黑体" w:hint="eastAsia"/>
          <w:bCs/>
          <w:sz w:val="32"/>
          <w:szCs w:val="32"/>
        </w:rPr>
        <w:t>六、高等教育数字化战略研究</w:t>
      </w:r>
    </w:p>
    <w:p w14:paraId="228DF5CF" w14:textId="77777777" w:rsidR="00703CC0" w:rsidRDefault="00000000">
      <w:pPr>
        <w:adjustRightInd w:val="0"/>
        <w:snapToGrid w:val="0"/>
        <w:spacing w:line="560" w:lineRule="exact"/>
        <w:ind w:firstLineChars="200" w:firstLine="643"/>
        <w:rPr>
          <w:rFonts w:ascii="楷体_GB2312" w:eastAsia="楷体_GB2312" w:hAnsi="仿宋" w:hint="eastAsia"/>
          <w:b/>
          <w:sz w:val="32"/>
          <w:szCs w:val="32"/>
        </w:rPr>
      </w:pPr>
      <w:r>
        <w:rPr>
          <w:rFonts w:ascii="楷体_GB2312" w:eastAsia="楷体_GB2312" w:hAnsi="仿宋" w:hint="eastAsia"/>
          <w:b/>
          <w:sz w:val="32"/>
          <w:szCs w:val="32"/>
        </w:rPr>
        <w:t>16.智慧校园建设</w:t>
      </w:r>
    </w:p>
    <w:p w14:paraId="5AB0A745" w14:textId="77777777" w:rsidR="00703CC0" w:rsidRDefault="00000000">
      <w:pPr>
        <w:adjustRightInd w:val="0"/>
        <w:snapToGrid w:val="0"/>
        <w:spacing w:line="560" w:lineRule="exact"/>
        <w:ind w:firstLineChars="200" w:firstLine="640"/>
        <w:rPr>
          <w:rFonts w:ascii="仿宋" w:eastAsia="仿宋_GB2312" w:hAnsi="仿宋" w:hint="eastAsia"/>
          <w:sz w:val="32"/>
          <w:szCs w:val="32"/>
        </w:rPr>
      </w:pPr>
      <w:r>
        <w:rPr>
          <w:rFonts w:ascii="仿宋" w:eastAsia="仿宋_GB2312" w:hAnsi="仿宋" w:hint="eastAsia"/>
          <w:sz w:val="32"/>
          <w:szCs w:val="32"/>
        </w:rPr>
        <w:t>智慧校园建设研究；智能教育创新实验室等建设与研究；高等教育大数据平台建设研究；可视化高等教育智慧“驾驶舱”研究；“数字孪生”校园建设研究；</w:t>
      </w:r>
      <w:bookmarkStart w:id="1" w:name="OLE_LINK2"/>
      <w:bookmarkStart w:id="2" w:name="OLE_LINK1"/>
      <w:r>
        <w:rPr>
          <w:rFonts w:ascii="仿宋" w:eastAsia="仿宋_GB2312" w:hAnsi="仿宋" w:hint="eastAsia"/>
          <w:sz w:val="32"/>
          <w:szCs w:val="32"/>
        </w:rPr>
        <w:t>校园网络安全、数据安全、大模型安全</w:t>
      </w:r>
      <w:bookmarkEnd w:id="1"/>
      <w:bookmarkEnd w:id="2"/>
      <w:r>
        <w:rPr>
          <w:rFonts w:ascii="仿宋" w:eastAsia="仿宋_GB2312" w:hAnsi="仿宋" w:hint="eastAsia"/>
          <w:sz w:val="32"/>
          <w:szCs w:val="32"/>
        </w:rPr>
        <w:t>研究等。</w:t>
      </w:r>
    </w:p>
    <w:p w14:paraId="0198D9A0" w14:textId="77777777" w:rsidR="00703CC0" w:rsidRDefault="00000000">
      <w:pPr>
        <w:adjustRightInd w:val="0"/>
        <w:snapToGrid w:val="0"/>
        <w:spacing w:line="560" w:lineRule="exact"/>
        <w:ind w:firstLineChars="200" w:firstLine="643"/>
        <w:rPr>
          <w:rFonts w:ascii="楷体_GB2312" w:eastAsia="楷体_GB2312" w:hAnsi="仿宋" w:hint="eastAsia"/>
          <w:b/>
          <w:sz w:val="32"/>
          <w:szCs w:val="32"/>
        </w:rPr>
      </w:pPr>
      <w:r>
        <w:rPr>
          <w:rFonts w:ascii="楷体_GB2312" w:eastAsia="楷体_GB2312" w:hAnsi="仿宋" w:hint="eastAsia"/>
          <w:b/>
          <w:sz w:val="32"/>
          <w:szCs w:val="32"/>
        </w:rPr>
        <w:t>17.高等教育教学数字化转型</w:t>
      </w:r>
    </w:p>
    <w:p w14:paraId="19EA6C2D" w14:textId="77777777" w:rsidR="00703CC0" w:rsidRDefault="00000000">
      <w:pPr>
        <w:adjustRightInd w:val="0"/>
        <w:snapToGrid w:val="0"/>
        <w:spacing w:line="560" w:lineRule="exact"/>
        <w:ind w:firstLineChars="200" w:firstLine="640"/>
        <w:rPr>
          <w:rFonts w:ascii="仿宋" w:eastAsia="仿宋_GB2312" w:hAnsi="仿宋" w:hint="eastAsia"/>
          <w:sz w:val="32"/>
          <w:szCs w:val="32"/>
        </w:rPr>
      </w:pPr>
      <w:r>
        <w:rPr>
          <w:rFonts w:ascii="仿宋" w:eastAsia="仿宋_GB2312" w:hAnsi="仿宋" w:hint="eastAsia"/>
          <w:sz w:val="32"/>
          <w:szCs w:val="32"/>
        </w:rPr>
        <w:t>高等教育教学数字化体系研究；国家和省级高等教育智慧教育平台应用研究；信息技术与教育教学的深度融合如微课、在线开放课程建设、翻转课堂等方面研究；虚拟仿真教学实验、课程思政数字化资源库、教学案例库、人才培养教学资源库等教学资源平台建设与管理；虚拟教研室信息平台建设；学习过程大数据分析、打造智慧学习社区等研究；教学管理数字化、信息化建设研究与实践；现代信息网络技术在教学中的运用、现代远程高等</w:t>
      </w:r>
      <w:r>
        <w:rPr>
          <w:rFonts w:ascii="仿宋" w:eastAsia="仿宋_GB2312" w:hAnsi="仿宋" w:hint="eastAsia"/>
          <w:sz w:val="32"/>
          <w:szCs w:val="32"/>
        </w:rPr>
        <w:lastRenderedPageBreak/>
        <w:t>教育教学体系的构建及管理研究。</w:t>
      </w:r>
    </w:p>
    <w:p w14:paraId="7A6C626B" w14:textId="77777777" w:rsidR="00703CC0" w:rsidRDefault="00000000">
      <w:pPr>
        <w:adjustRightInd w:val="0"/>
        <w:snapToGrid w:val="0"/>
        <w:spacing w:line="560" w:lineRule="exact"/>
        <w:ind w:firstLineChars="200" w:firstLine="643"/>
        <w:rPr>
          <w:rFonts w:ascii="楷体_GB2312" w:eastAsia="楷体_GB2312" w:hAnsi="仿宋" w:hint="eastAsia"/>
          <w:b/>
          <w:sz w:val="32"/>
          <w:szCs w:val="32"/>
        </w:rPr>
      </w:pPr>
      <w:r>
        <w:rPr>
          <w:rFonts w:ascii="楷体_GB2312" w:eastAsia="楷体_GB2312" w:hAnsi="仿宋" w:hint="eastAsia"/>
          <w:b/>
          <w:sz w:val="32"/>
          <w:szCs w:val="32"/>
        </w:rPr>
        <w:t>18.人工智能推进教育教学变革</w:t>
      </w:r>
    </w:p>
    <w:p w14:paraId="34841865" w14:textId="77777777" w:rsidR="00703CC0" w:rsidRDefault="00000000">
      <w:pPr>
        <w:autoSpaceDE w:val="0"/>
        <w:autoSpaceDN w:val="0"/>
        <w:adjustRightInd w:val="0"/>
        <w:snapToGrid w:val="0"/>
        <w:spacing w:line="560" w:lineRule="exact"/>
        <w:ind w:firstLineChars="200" w:firstLine="640"/>
        <w:jc w:val="left"/>
        <w:rPr>
          <w:rFonts w:ascii="仿宋" w:eastAsia="仿宋_GB2312" w:hAnsi="仿宋" w:hint="eastAsia"/>
          <w:sz w:val="32"/>
          <w:szCs w:val="32"/>
        </w:rPr>
      </w:pPr>
      <w:r>
        <w:rPr>
          <w:rFonts w:ascii="仿宋" w:eastAsia="仿宋_GB2312" w:hAnsi="仿宋" w:hint="eastAsia"/>
          <w:sz w:val="32"/>
          <w:szCs w:val="32"/>
        </w:rPr>
        <w:t>人工智能时代高等教育政策与体制机制改革研究；“人工智能</w:t>
      </w:r>
      <w:r>
        <w:rPr>
          <w:rFonts w:ascii="仿宋" w:eastAsia="仿宋_GB2312" w:hAnsi="仿宋" w:hint="eastAsia"/>
          <w:sz w:val="32"/>
          <w:szCs w:val="32"/>
        </w:rPr>
        <w:t>+</w:t>
      </w:r>
      <w:r>
        <w:rPr>
          <w:rFonts w:ascii="仿宋" w:eastAsia="仿宋_GB2312" w:hAnsi="仿宋" w:hint="eastAsia"/>
          <w:sz w:val="32"/>
          <w:szCs w:val="32"/>
        </w:rPr>
        <w:t>”教育教学改革研究与实践；</w:t>
      </w:r>
      <w:r>
        <w:rPr>
          <w:rFonts w:ascii="仿宋_GB2312" w:eastAsia="仿宋_GB2312" w:hAnsi="Times New Roman" w:cs="仿宋_GB2312" w:hint="eastAsia"/>
          <w:kern w:val="0"/>
          <w:sz w:val="32"/>
          <w:szCs w:val="32"/>
        </w:rPr>
        <w:t>人工智能赋能本科教育教学创新提质探索与实践；师生人工智能素养提升的改革与实践；人工智能通识教育的理念创新与课程体系构建；</w:t>
      </w:r>
      <w:r>
        <w:rPr>
          <w:rFonts w:ascii="仿宋" w:eastAsia="仿宋_GB2312" w:hAnsi="仿宋" w:hint="eastAsia"/>
          <w:sz w:val="32"/>
          <w:szCs w:val="32"/>
        </w:rPr>
        <w:t>四个“未来”（未来学习中心、未来课堂、未来学校、未来教师）建设研究；人工智能赋能专业评价、学生评价的改革与实践；人工智能伦理与风险治理研究等。</w:t>
      </w:r>
    </w:p>
    <w:p w14:paraId="5EC707F6" w14:textId="77777777" w:rsidR="00703CC0" w:rsidRDefault="00000000">
      <w:pPr>
        <w:adjustRightInd w:val="0"/>
        <w:snapToGrid w:val="0"/>
        <w:spacing w:line="560" w:lineRule="exact"/>
        <w:ind w:firstLineChars="200" w:firstLine="640"/>
        <w:rPr>
          <w:rFonts w:ascii="黑体" w:eastAsia="黑体" w:hAnsi="黑体" w:cs="黑体" w:hint="eastAsia"/>
          <w:bCs/>
          <w:sz w:val="32"/>
          <w:szCs w:val="32"/>
        </w:rPr>
      </w:pPr>
      <w:r>
        <w:rPr>
          <w:rFonts w:ascii="黑体" w:eastAsia="黑体" w:hAnsi="黑体" w:cs="黑体" w:hint="eastAsia"/>
          <w:bCs/>
          <w:sz w:val="32"/>
          <w:szCs w:val="32"/>
        </w:rPr>
        <w:t>七、高等教育质量保证体系研究</w:t>
      </w:r>
    </w:p>
    <w:p w14:paraId="1FF4EA4E" w14:textId="77777777" w:rsidR="00703CC0" w:rsidRDefault="00000000">
      <w:pPr>
        <w:adjustRightInd w:val="0"/>
        <w:snapToGrid w:val="0"/>
        <w:spacing w:line="560" w:lineRule="exact"/>
        <w:ind w:firstLineChars="200" w:firstLine="643"/>
        <w:rPr>
          <w:rFonts w:ascii="楷体_GB2312" w:eastAsia="楷体_GB2312" w:hAnsi="仿宋" w:hint="eastAsia"/>
          <w:b/>
          <w:sz w:val="32"/>
          <w:szCs w:val="32"/>
        </w:rPr>
      </w:pPr>
      <w:r>
        <w:rPr>
          <w:rFonts w:ascii="楷体_GB2312" w:eastAsia="楷体_GB2312" w:hAnsi="仿宋" w:hint="eastAsia"/>
          <w:b/>
          <w:sz w:val="32"/>
          <w:szCs w:val="32"/>
        </w:rPr>
        <w:t>19.以质量提升为核心的管理体制机制建设</w:t>
      </w:r>
    </w:p>
    <w:p w14:paraId="3AF74856" w14:textId="77777777" w:rsidR="00703CC0" w:rsidRDefault="00000000">
      <w:pPr>
        <w:adjustRightInd w:val="0"/>
        <w:snapToGrid w:val="0"/>
        <w:spacing w:line="560" w:lineRule="exact"/>
        <w:ind w:firstLineChars="200" w:firstLine="640"/>
        <w:rPr>
          <w:rFonts w:ascii="仿宋" w:eastAsia="仿宋_GB2312" w:hAnsi="仿宋" w:hint="eastAsia"/>
          <w:sz w:val="32"/>
          <w:szCs w:val="32"/>
        </w:rPr>
      </w:pPr>
      <w:r>
        <w:rPr>
          <w:rFonts w:ascii="仿宋" w:eastAsia="仿宋_GB2312" w:hAnsi="仿宋" w:hint="eastAsia"/>
          <w:sz w:val="32"/>
          <w:szCs w:val="32"/>
        </w:rPr>
        <w:t>体现“以本为本”“四个回归”的管理体制机制研究；建立以提升教育质量为核心、以激励教师投入人才培养为重点的管理制度体系研究；推进学分制、弹性学制，探索书院制等改革研究；本科专业类教学质量国家标准实施研究与实践；高校严格课堂教学管理与课堂改革方面的研究与实践；专业人才培养评价标准体系构建研究与实践；本科专业监测评估的改革与实践；高校教学质量管理体制、质量监控体系和保障体系的研究；高等学校教学质量标准体系建设研究等。</w:t>
      </w:r>
    </w:p>
    <w:p w14:paraId="13F4A7C7" w14:textId="77777777" w:rsidR="00703CC0" w:rsidRDefault="00000000">
      <w:pPr>
        <w:adjustRightInd w:val="0"/>
        <w:snapToGrid w:val="0"/>
        <w:spacing w:line="560" w:lineRule="exact"/>
        <w:ind w:firstLineChars="200" w:firstLine="643"/>
        <w:rPr>
          <w:rFonts w:ascii="楷体_GB2312" w:eastAsia="楷体_GB2312" w:hAnsi="仿宋" w:hint="eastAsia"/>
          <w:b/>
          <w:sz w:val="32"/>
          <w:szCs w:val="32"/>
        </w:rPr>
      </w:pPr>
      <w:r>
        <w:rPr>
          <w:rFonts w:ascii="楷体_GB2312" w:eastAsia="楷体_GB2312" w:hAnsi="仿宋" w:hint="eastAsia"/>
          <w:b/>
          <w:sz w:val="32"/>
          <w:szCs w:val="32"/>
        </w:rPr>
        <w:t>20.高校内部教育质量管理及保障体系建设、监控机制和体系研究</w:t>
      </w:r>
    </w:p>
    <w:p w14:paraId="1560D313" w14:textId="77777777" w:rsidR="00703CC0" w:rsidRDefault="00000000">
      <w:pPr>
        <w:adjustRightInd w:val="0"/>
        <w:snapToGrid w:val="0"/>
        <w:spacing w:line="560" w:lineRule="exact"/>
        <w:ind w:firstLineChars="200" w:firstLine="640"/>
        <w:rPr>
          <w:rFonts w:ascii="仿宋" w:eastAsia="仿宋_GB2312" w:hAnsi="仿宋" w:hint="eastAsia"/>
          <w:sz w:val="32"/>
          <w:szCs w:val="32"/>
        </w:rPr>
      </w:pPr>
      <w:r>
        <w:rPr>
          <w:rFonts w:ascii="仿宋" w:eastAsia="仿宋_GB2312" w:hAnsi="仿宋" w:hint="eastAsia"/>
          <w:sz w:val="32"/>
          <w:szCs w:val="32"/>
        </w:rPr>
        <w:t>加强学风建设，提升学业挑战度，强化人才培养方案、教学</w:t>
      </w:r>
      <w:r>
        <w:rPr>
          <w:rFonts w:ascii="仿宋" w:eastAsia="仿宋_GB2312" w:hAnsi="仿宋" w:hint="eastAsia"/>
          <w:sz w:val="32"/>
          <w:szCs w:val="32"/>
        </w:rPr>
        <w:lastRenderedPageBreak/>
        <w:t>过程和教学考核等质量要求，完善学业考评制度等方面的研究；面向培养目标达成的定量和定性评价方法，建立校院两级质量保障机制研究；完善教学环节质量标准、教学反馈和评估机制，健全内部评价与外部评价相结合的评价体系，构建教师教学、学生学业、质量监测“三位一体”的质量保障体系研究；教学状态和教学质量监测的常态化、信息化研究与实践；高校本科教学工作合格评估和本科教育教学审核评估研究；本科人才培养质量评价体系及评价方法研究；高校专业认证、课程评估研究；高校教学督导工作研究等。</w:t>
      </w:r>
    </w:p>
    <w:p w14:paraId="56EA9F43" w14:textId="77777777" w:rsidR="00703CC0" w:rsidRDefault="00000000">
      <w:pPr>
        <w:numPr>
          <w:ilvl w:val="0"/>
          <w:numId w:val="1"/>
        </w:numPr>
        <w:adjustRightInd w:val="0"/>
        <w:snapToGrid w:val="0"/>
        <w:spacing w:line="540" w:lineRule="exact"/>
        <w:ind w:firstLineChars="200" w:firstLine="640"/>
        <w:rPr>
          <w:rFonts w:ascii="黑体" w:eastAsia="黑体" w:hAnsi="黑体" w:cs="黑体" w:hint="eastAsia"/>
          <w:bCs/>
          <w:sz w:val="32"/>
          <w:szCs w:val="32"/>
        </w:rPr>
      </w:pPr>
      <w:r>
        <w:rPr>
          <w:rFonts w:ascii="黑体" w:eastAsia="黑体" w:hAnsi="黑体" w:cs="黑体" w:hint="eastAsia"/>
          <w:bCs/>
          <w:sz w:val="32"/>
          <w:szCs w:val="32"/>
        </w:rPr>
        <w:t>其他相关研究</w:t>
      </w:r>
    </w:p>
    <w:p w14:paraId="12D53FE3" w14:textId="77777777" w:rsidR="00703CC0" w:rsidRDefault="00703CC0">
      <w:pPr>
        <w:adjustRightInd w:val="0"/>
        <w:snapToGrid w:val="0"/>
        <w:spacing w:line="540" w:lineRule="exact"/>
        <w:rPr>
          <w:rFonts w:ascii="黑体" w:eastAsia="黑体" w:hAnsi="黑体" w:cs="黑体" w:hint="eastAsia"/>
          <w:bCs/>
          <w:sz w:val="32"/>
          <w:szCs w:val="32"/>
        </w:rPr>
      </w:pPr>
    </w:p>
    <w:p w14:paraId="38D2DE8C" w14:textId="77777777" w:rsidR="00703CC0" w:rsidRDefault="00703CC0">
      <w:pPr>
        <w:adjustRightInd w:val="0"/>
        <w:snapToGrid w:val="0"/>
        <w:spacing w:line="540" w:lineRule="exact"/>
        <w:rPr>
          <w:rFonts w:ascii="黑体" w:eastAsia="黑体" w:hAnsi="黑体" w:cs="黑体" w:hint="eastAsia"/>
          <w:bCs/>
          <w:sz w:val="32"/>
          <w:szCs w:val="32"/>
        </w:rPr>
      </w:pPr>
    </w:p>
    <w:p w14:paraId="4837004F" w14:textId="77777777" w:rsidR="00703CC0" w:rsidRDefault="00703CC0">
      <w:pPr>
        <w:adjustRightInd w:val="0"/>
        <w:snapToGrid w:val="0"/>
        <w:spacing w:line="540" w:lineRule="exact"/>
        <w:rPr>
          <w:rFonts w:ascii="黑体" w:eastAsia="黑体" w:hAnsi="黑体" w:cs="黑体" w:hint="eastAsia"/>
          <w:bCs/>
          <w:sz w:val="32"/>
          <w:szCs w:val="32"/>
        </w:rPr>
      </w:pPr>
    </w:p>
    <w:p w14:paraId="0154C1CB" w14:textId="77777777" w:rsidR="00703CC0" w:rsidRDefault="00703CC0">
      <w:pPr>
        <w:adjustRightInd w:val="0"/>
        <w:snapToGrid w:val="0"/>
        <w:spacing w:line="560" w:lineRule="exact"/>
        <w:ind w:firstLineChars="200" w:firstLine="640"/>
        <w:rPr>
          <w:rFonts w:ascii="仿宋" w:eastAsia="仿宋_GB2312" w:hAnsi="仿宋" w:hint="eastAsia"/>
          <w:sz w:val="32"/>
          <w:szCs w:val="32"/>
        </w:rPr>
      </w:pPr>
    </w:p>
    <w:p w14:paraId="3FB8AD6F" w14:textId="77777777" w:rsidR="00703CC0" w:rsidRDefault="00703CC0">
      <w:pPr>
        <w:adjustRightInd w:val="0"/>
        <w:snapToGrid w:val="0"/>
        <w:spacing w:line="560" w:lineRule="exact"/>
        <w:ind w:firstLineChars="200" w:firstLine="640"/>
        <w:rPr>
          <w:rFonts w:ascii="仿宋" w:eastAsia="仿宋_GB2312" w:hAnsi="仿宋" w:hint="eastAsia"/>
          <w:sz w:val="32"/>
          <w:szCs w:val="32"/>
        </w:rPr>
      </w:pPr>
    </w:p>
    <w:p w14:paraId="360A37F6" w14:textId="77777777" w:rsidR="00703CC0" w:rsidRDefault="00703CC0">
      <w:pPr>
        <w:adjustRightInd w:val="0"/>
        <w:snapToGrid w:val="0"/>
        <w:spacing w:line="560" w:lineRule="exact"/>
        <w:ind w:firstLineChars="200" w:firstLine="640"/>
        <w:rPr>
          <w:rFonts w:ascii="仿宋" w:eastAsia="仿宋_GB2312" w:hAnsi="仿宋" w:hint="eastAsia"/>
          <w:sz w:val="32"/>
          <w:szCs w:val="32"/>
        </w:rPr>
      </w:pPr>
    </w:p>
    <w:p w14:paraId="35CE5CB0" w14:textId="77777777" w:rsidR="00703CC0" w:rsidRDefault="00703CC0">
      <w:pPr>
        <w:adjustRightInd w:val="0"/>
        <w:snapToGrid w:val="0"/>
        <w:spacing w:line="560" w:lineRule="exact"/>
        <w:ind w:firstLineChars="200" w:firstLine="640"/>
        <w:rPr>
          <w:rFonts w:ascii="仿宋" w:eastAsia="仿宋_GB2312" w:hAnsi="仿宋" w:hint="eastAsia"/>
          <w:sz w:val="32"/>
          <w:szCs w:val="32"/>
        </w:rPr>
      </w:pPr>
    </w:p>
    <w:p w14:paraId="4E81B30A" w14:textId="77777777" w:rsidR="00703CC0" w:rsidRDefault="00703CC0">
      <w:pPr>
        <w:adjustRightInd w:val="0"/>
        <w:snapToGrid w:val="0"/>
        <w:spacing w:line="560" w:lineRule="exact"/>
        <w:ind w:firstLineChars="200" w:firstLine="640"/>
        <w:rPr>
          <w:rFonts w:ascii="仿宋" w:eastAsia="仿宋_GB2312" w:hAnsi="仿宋" w:hint="eastAsia"/>
          <w:sz w:val="32"/>
          <w:szCs w:val="32"/>
        </w:rPr>
      </w:pPr>
    </w:p>
    <w:p w14:paraId="5BD969B7" w14:textId="77777777" w:rsidR="00703CC0" w:rsidRDefault="00703CC0">
      <w:pPr>
        <w:adjustRightInd w:val="0"/>
        <w:snapToGrid w:val="0"/>
        <w:spacing w:line="560" w:lineRule="exact"/>
        <w:ind w:firstLineChars="200" w:firstLine="640"/>
        <w:rPr>
          <w:rFonts w:ascii="仿宋" w:eastAsia="仿宋_GB2312" w:hAnsi="仿宋" w:hint="eastAsia"/>
          <w:sz w:val="32"/>
          <w:szCs w:val="32"/>
        </w:rPr>
      </w:pPr>
    </w:p>
    <w:p w14:paraId="05A8BBB4" w14:textId="77777777" w:rsidR="00703CC0" w:rsidRDefault="00703CC0">
      <w:pPr>
        <w:adjustRightInd w:val="0"/>
        <w:snapToGrid w:val="0"/>
        <w:spacing w:line="560" w:lineRule="exact"/>
        <w:ind w:firstLineChars="200" w:firstLine="640"/>
        <w:rPr>
          <w:rFonts w:ascii="仿宋" w:eastAsia="仿宋_GB2312" w:hAnsi="仿宋" w:hint="eastAsia"/>
          <w:sz w:val="32"/>
          <w:szCs w:val="32"/>
        </w:rPr>
      </w:pPr>
    </w:p>
    <w:p w14:paraId="14231160" w14:textId="77777777" w:rsidR="00703CC0" w:rsidRDefault="00703CC0">
      <w:pPr>
        <w:adjustRightInd w:val="0"/>
        <w:snapToGrid w:val="0"/>
        <w:spacing w:line="560" w:lineRule="exact"/>
        <w:ind w:firstLineChars="200" w:firstLine="640"/>
        <w:rPr>
          <w:rFonts w:ascii="仿宋" w:eastAsia="仿宋_GB2312" w:hAnsi="仿宋" w:hint="eastAsia"/>
          <w:sz w:val="32"/>
          <w:szCs w:val="32"/>
        </w:rPr>
      </w:pPr>
    </w:p>
    <w:p w14:paraId="4A534FD9" w14:textId="77777777" w:rsidR="00703CC0" w:rsidRDefault="00703CC0">
      <w:pPr>
        <w:adjustRightInd w:val="0"/>
        <w:snapToGrid w:val="0"/>
        <w:spacing w:line="560" w:lineRule="exact"/>
        <w:ind w:firstLineChars="200" w:firstLine="640"/>
        <w:rPr>
          <w:rFonts w:ascii="仿宋" w:eastAsia="仿宋_GB2312" w:hAnsi="仿宋" w:hint="eastAsia"/>
          <w:sz w:val="32"/>
          <w:szCs w:val="32"/>
        </w:rPr>
      </w:pPr>
    </w:p>
    <w:p w14:paraId="4E3B188A" w14:textId="77777777" w:rsidR="00703CC0" w:rsidRDefault="00000000">
      <w:pPr>
        <w:widowControl/>
        <w:spacing w:line="540" w:lineRule="exact"/>
        <w:jc w:val="left"/>
        <w:rPr>
          <w:rFonts w:ascii="黑体" w:eastAsia="黑体" w:hAnsi="黑体" w:cs="黑体" w:hint="eastAsia"/>
          <w:sz w:val="32"/>
          <w:szCs w:val="32"/>
        </w:rPr>
      </w:pPr>
      <w:r>
        <w:rPr>
          <w:rFonts w:ascii="黑体" w:eastAsia="黑体" w:hAnsi="黑体" w:cs="黑体" w:hint="eastAsia"/>
          <w:sz w:val="32"/>
          <w:szCs w:val="32"/>
        </w:rPr>
        <w:lastRenderedPageBreak/>
        <w:t>附件2</w:t>
      </w:r>
    </w:p>
    <w:p w14:paraId="309F07D1" w14:textId="77777777" w:rsidR="00703CC0" w:rsidRDefault="00703CC0">
      <w:pPr>
        <w:widowControl/>
        <w:spacing w:line="540" w:lineRule="exact"/>
        <w:jc w:val="left"/>
        <w:rPr>
          <w:rFonts w:ascii="黑体" w:eastAsia="黑体" w:hAnsi="黑体" w:cs="黑体" w:hint="eastAsia"/>
          <w:sz w:val="32"/>
          <w:szCs w:val="32"/>
        </w:rPr>
      </w:pPr>
    </w:p>
    <w:p w14:paraId="39FD83CC" w14:textId="77777777" w:rsidR="00703CC0" w:rsidRDefault="00000000">
      <w:pPr>
        <w:spacing w:line="560" w:lineRule="exact"/>
        <w:jc w:val="center"/>
        <w:outlineLvl w:val="0"/>
        <w:rPr>
          <w:rFonts w:ascii="方正小标宋简体" w:eastAsia="方正小标宋简体" w:hAnsi="宋体" w:hint="eastAsia"/>
          <w:sz w:val="36"/>
          <w:szCs w:val="36"/>
        </w:rPr>
      </w:pPr>
      <w:r>
        <w:rPr>
          <w:rFonts w:ascii="方正小标宋简体" w:eastAsia="方正小标宋简体" w:hAnsi="宋体" w:hint="eastAsia"/>
          <w:sz w:val="36"/>
          <w:szCs w:val="36"/>
        </w:rPr>
        <w:t>2025年湖北本科高校省级教学改革研究项目指南</w:t>
      </w:r>
    </w:p>
    <w:p w14:paraId="16D650C0" w14:textId="77777777" w:rsidR="00703CC0" w:rsidRDefault="00000000">
      <w:pPr>
        <w:spacing w:line="560" w:lineRule="exact"/>
        <w:jc w:val="center"/>
        <w:outlineLvl w:val="0"/>
        <w:rPr>
          <w:rFonts w:ascii="方正小标宋简体" w:eastAsia="方正小标宋简体" w:hAnsi="宋体" w:hint="eastAsia"/>
          <w:sz w:val="32"/>
          <w:szCs w:val="32"/>
        </w:rPr>
      </w:pPr>
      <w:r>
        <w:rPr>
          <w:rFonts w:ascii="方正小标宋简体" w:eastAsia="方正小标宋简体" w:hAnsi="宋体" w:hint="eastAsia"/>
          <w:sz w:val="32"/>
          <w:szCs w:val="32"/>
        </w:rPr>
        <w:t>（研究生）</w:t>
      </w:r>
    </w:p>
    <w:p w14:paraId="1BC2C6BA" w14:textId="77777777" w:rsidR="00703CC0" w:rsidRDefault="00703CC0">
      <w:pPr>
        <w:adjustRightInd w:val="0"/>
        <w:snapToGrid w:val="0"/>
        <w:spacing w:line="560" w:lineRule="exact"/>
        <w:ind w:firstLineChars="200" w:firstLine="640"/>
        <w:rPr>
          <w:rFonts w:ascii="黑体" w:eastAsia="黑体" w:hAnsi="黑体" w:cs="黑体" w:hint="eastAsia"/>
          <w:bCs/>
          <w:sz w:val="32"/>
          <w:szCs w:val="32"/>
        </w:rPr>
      </w:pPr>
    </w:p>
    <w:p w14:paraId="364D7A9E" w14:textId="77777777" w:rsidR="00703CC0" w:rsidRDefault="00000000">
      <w:pPr>
        <w:adjustRightInd w:val="0"/>
        <w:snapToGrid w:val="0"/>
        <w:spacing w:line="560" w:lineRule="exact"/>
        <w:ind w:firstLineChars="200" w:firstLine="640"/>
        <w:rPr>
          <w:rFonts w:ascii="黑体" w:eastAsia="黑体" w:hAnsi="黑体" w:cs="黑体" w:hint="eastAsia"/>
          <w:bCs/>
          <w:sz w:val="32"/>
          <w:szCs w:val="32"/>
        </w:rPr>
      </w:pPr>
      <w:r>
        <w:rPr>
          <w:rFonts w:ascii="黑体" w:eastAsia="黑体" w:hAnsi="黑体" w:cs="黑体" w:hint="eastAsia"/>
          <w:bCs/>
          <w:sz w:val="32"/>
          <w:szCs w:val="32"/>
        </w:rPr>
        <w:t>一、研究生教育战略研究</w:t>
      </w:r>
    </w:p>
    <w:p w14:paraId="67CB944B" w14:textId="77777777" w:rsidR="00703CC0" w:rsidRDefault="00000000">
      <w:pPr>
        <w:adjustRightInd w:val="0"/>
        <w:snapToGrid w:val="0"/>
        <w:spacing w:line="560" w:lineRule="exact"/>
        <w:ind w:firstLineChars="200" w:firstLine="640"/>
        <w:rPr>
          <w:rFonts w:ascii="仿宋" w:eastAsia="仿宋_GB2312" w:hAnsi="仿宋" w:hint="eastAsia"/>
          <w:sz w:val="32"/>
          <w:szCs w:val="32"/>
        </w:rPr>
      </w:pPr>
      <w:r>
        <w:rPr>
          <w:rFonts w:ascii="仿宋" w:eastAsia="仿宋_GB2312" w:hAnsi="仿宋" w:hint="eastAsia"/>
          <w:sz w:val="32"/>
          <w:szCs w:val="32"/>
        </w:rPr>
        <w:t>新时代研究生教育强国重大理论研究；湖北省学位与研究生教育战略研究与顶层设计；湖北省经济社会发展对研究生人才需求研究；破“五唯”背景下大学及学科评价研究；基础学科拔尖创新人才培养模式研究；国家关键领域急需高层次人才培养路径研究；新时代卓越工程师培养模式创新实践研究；新时代科教融汇协同育人培养模式创新实践研究；研究生教育质量监测体系构建研究；新时代研究生思想政治教育工作创新研究；研究生导师队伍建设研究；研究生教育治理体系和治理能力现代化研究；《中华人民共和国学位法》实施背景下高校学位与研究生教育制度体系建设研究；湖北省研究生教育对外开放融合研究；研究生高质量就业服务体系研究。</w:t>
      </w:r>
    </w:p>
    <w:p w14:paraId="5AB79433" w14:textId="77777777" w:rsidR="00703CC0" w:rsidRDefault="00000000">
      <w:pPr>
        <w:adjustRightInd w:val="0"/>
        <w:snapToGrid w:val="0"/>
        <w:spacing w:line="560" w:lineRule="exact"/>
        <w:ind w:firstLineChars="200" w:firstLine="640"/>
        <w:rPr>
          <w:rFonts w:ascii="黑体" w:eastAsia="黑体" w:hAnsi="黑体" w:cs="黑体" w:hint="eastAsia"/>
          <w:bCs/>
          <w:sz w:val="32"/>
          <w:szCs w:val="32"/>
        </w:rPr>
      </w:pPr>
      <w:r>
        <w:rPr>
          <w:rFonts w:ascii="黑体" w:eastAsia="黑体" w:hAnsi="黑体" w:cs="黑体" w:hint="eastAsia"/>
          <w:bCs/>
          <w:sz w:val="32"/>
          <w:szCs w:val="32"/>
        </w:rPr>
        <w:t>二、“双一流”与学科建设研究</w:t>
      </w:r>
    </w:p>
    <w:p w14:paraId="412DFC78" w14:textId="77777777" w:rsidR="00703CC0" w:rsidRDefault="00000000">
      <w:pPr>
        <w:adjustRightInd w:val="0"/>
        <w:snapToGrid w:val="0"/>
        <w:spacing w:line="560" w:lineRule="exact"/>
        <w:ind w:firstLineChars="200" w:firstLine="640"/>
        <w:rPr>
          <w:rFonts w:ascii="仿宋" w:eastAsia="仿宋_GB2312" w:hAnsi="仿宋" w:hint="eastAsia"/>
          <w:sz w:val="32"/>
          <w:szCs w:val="32"/>
        </w:rPr>
      </w:pPr>
      <w:r>
        <w:rPr>
          <w:rFonts w:ascii="仿宋" w:eastAsia="仿宋_GB2312" w:hAnsi="仿宋" w:hint="eastAsia"/>
          <w:sz w:val="32"/>
          <w:szCs w:val="32"/>
        </w:rPr>
        <w:t>一流大学和一流学科建设理论研究；“双一流”建设路径与成效评价研究；“双一流”建设与研究生教育改革发展研究；交叉学科建设机理及实现路径研究；交叉学科建设与研究生教育的融合联动机制研究；学位点动态调整机制研究；一级学科博士点</w:t>
      </w:r>
      <w:r>
        <w:rPr>
          <w:rFonts w:ascii="仿宋" w:eastAsia="仿宋_GB2312" w:hAnsi="仿宋" w:hint="eastAsia"/>
          <w:sz w:val="32"/>
          <w:szCs w:val="32"/>
        </w:rPr>
        <w:lastRenderedPageBreak/>
        <w:t>的培育与建设研究。</w:t>
      </w:r>
    </w:p>
    <w:p w14:paraId="1973A871" w14:textId="77777777" w:rsidR="00703CC0" w:rsidRDefault="00000000">
      <w:pPr>
        <w:adjustRightInd w:val="0"/>
        <w:snapToGrid w:val="0"/>
        <w:spacing w:line="560" w:lineRule="exact"/>
        <w:ind w:firstLineChars="200" w:firstLine="640"/>
        <w:rPr>
          <w:rFonts w:ascii="黑体" w:eastAsia="黑体" w:hAnsi="黑体" w:cs="黑体" w:hint="eastAsia"/>
          <w:bCs/>
          <w:sz w:val="32"/>
          <w:szCs w:val="32"/>
        </w:rPr>
      </w:pPr>
      <w:r>
        <w:rPr>
          <w:rFonts w:ascii="黑体" w:eastAsia="黑体" w:hAnsi="黑体" w:cs="黑体" w:hint="eastAsia"/>
          <w:bCs/>
          <w:sz w:val="32"/>
          <w:szCs w:val="32"/>
        </w:rPr>
        <w:t>三、研究生招生体制机制改革研究</w:t>
      </w:r>
    </w:p>
    <w:p w14:paraId="00F82C97" w14:textId="77777777" w:rsidR="00703CC0" w:rsidRDefault="00000000">
      <w:pPr>
        <w:adjustRightInd w:val="0"/>
        <w:snapToGrid w:val="0"/>
        <w:spacing w:line="560" w:lineRule="exact"/>
        <w:ind w:firstLineChars="200" w:firstLine="640"/>
        <w:rPr>
          <w:rFonts w:ascii="仿宋" w:eastAsia="仿宋_GB2312" w:hAnsi="仿宋" w:hint="eastAsia"/>
          <w:sz w:val="32"/>
          <w:szCs w:val="32"/>
        </w:rPr>
      </w:pPr>
      <w:r>
        <w:rPr>
          <w:rFonts w:ascii="仿宋" w:eastAsia="仿宋_GB2312" w:hAnsi="仿宋" w:hint="eastAsia"/>
          <w:sz w:val="32"/>
          <w:szCs w:val="32"/>
        </w:rPr>
        <w:t>新形势下研究生招生考试制度改革研究；研究生招生规模与结构调整研究；提高研究生生源质量的路径探索；研究生考试招生中的综合评价研究；研究生招生考试自命题考试优化研究。</w:t>
      </w:r>
    </w:p>
    <w:p w14:paraId="789ED6FF" w14:textId="77777777" w:rsidR="00703CC0" w:rsidRDefault="00000000">
      <w:pPr>
        <w:adjustRightInd w:val="0"/>
        <w:snapToGrid w:val="0"/>
        <w:spacing w:line="560" w:lineRule="exact"/>
        <w:ind w:firstLineChars="200" w:firstLine="640"/>
        <w:rPr>
          <w:rFonts w:ascii="黑体" w:eastAsia="黑体" w:hAnsi="黑体" w:cs="黑体" w:hint="eastAsia"/>
          <w:bCs/>
          <w:sz w:val="32"/>
          <w:szCs w:val="32"/>
        </w:rPr>
      </w:pPr>
      <w:r>
        <w:rPr>
          <w:rFonts w:ascii="黑体" w:eastAsia="黑体" w:hAnsi="黑体" w:cs="黑体" w:hint="eastAsia"/>
          <w:bCs/>
          <w:sz w:val="32"/>
          <w:szCs w:val="32"/>
        </w:rPr>
        <w:t>四、研究生培养改革研究</w:t>
      </w:r>
    </w:p>
    <w:p w14:paraId="5D680A48" w14:textId="77777777" w:rsidR="00703CC0" w:rsidRDefault="00000000">
      <w:pPr>
        <w:adjustRightInd w:val="0"/>
        <w:snapToGrid w:val="0"/>
        <w:spacing w:line="560" w:lineRule="exact"/>
        <w:ind w:firstLineChars="200" w:firstLine="640"/>
        <w:rPr>
          <w:rFonts w:ascii="仿宋" w:eastAsia="仿宋_GB2312" w:hAnsi="仿宋" w:hint="eastAsia"/>
          <w:sz w:val="32"/>
          <w:szCs w:val="32"/>
        </w:rPr>
      </w:pPr>
      <w:r>
        <w:rPr>
          <w:rFonts w:ascii="仿宋" w:eastAsia="仿宋_GB2312" w:hAnsi="仿宋" w:hint="eastAsia"/>
          <w:sz w:val="32"/>
          <w:szCs w:val="32"/>
        </w:rPr>
        <w:t>人工智能时代研究生培养改革研究；新版学科专业目录调整下研究生培养工作研究；科教融汇研究生培养模式研究；产教融合研究生培养模式研究；依托重大平台的研究生培养模式研究；哲学社会科学拔尖创新人才培养模式改革研究；本硕博贯通培养机制研究；研究生培养学术共同体建设研究；研究生分流退出激励机制研究；非全日制研究生培养质量提升研究；专业学位博士生培养模式改革与创新研究；专业学位硕士研究生培养综合改革研究；专业学位研究生实践能力培养研究；学科交叉培养创新人才模式探索研究；新时代研究生课程体系改革及教材建设研究；研究生体育与美育实践路径研究；研究生优质教学资源共享机制和路径研究；研究生创新创业竞赛与创新人才培养融合研究。</w:t>
      </w:r>
    </w:p>
    <w:p w14:paraId="33560BCA" w14:textId="77777777" w:rsidR="00703CC0" w:rsidRDefault="00000000">
      <w:pPr>
        <w:adjustRightInd w:val="0"/>
        <w:snapToGrid w:val="0"/>
        <w:spacing w:line="560" w:lineRule="exact"/>
        <w:ind w:firstLineChars="200" w:firstLine="640"/>
        <w:rPr>
          <w:rFonts w:ascii="黑体" w:eastAsia="黑体" w:hAnsi="黑体" w:cs="黑体" w:hint="eastAsia"/>
          <w:bCs/>
          <w:sz w:val="32"/>
          <w:szCs w:val="32"/>
        </w:rPr>
      </w:pPr>
      <w:r>
        <w:rPr>
          <w:rFonts w:ascii="黑体" w:eastAsia="黑体" w:hAnsi="黑体" w:cs="黑体" w:hint="eastAsia"/>
          <w:bCs/>
          <w:sz w:val="32"/>
          <w:szCs w:val="32"/>
        </w:rPr>
        <w:t>五、研究生教育质量保障研究</w:t>
      </w:r>
    </w:p>
    <w:p w14:paraId="11ED962B" w14:textId="77777777" w:rsidR="00703CC0" w:rsidRDefault="00000000">
      <w:pPr>
        <w:adjustRightInd w:val="0"/>
        <w:snapToGrid w:val="0"/>
        <w:spacing w:line="560" w:lineRule="exact"/>
        <w:ind w:firstLineChars="200" w:firstLine="640"/>
        <w:rPr>
          <w:rFonts w:ascii="仿宋" w:eastAsia="仿宋_GB2312" w:hAnsi="仿宋" w:hint="eastAsia"/>
          <w:sz w:val="32"/>
          <w:szCs w:val="32"/>
        </w:rPr>
      </w:pPr>
      <w:r>
        <w:rPr>
          <w:rFonts w:ascii="仿宋" w:eastAsia="仿宋_GB2312" w:hAnsi="仿宋" w:hint="eastAsia"/>
          <w:sz w:val="32"/>
          <w:szCs w:val="32"/>
        </w:rPr>
        <w:t>《中华人民共和国学位法》实施背景下研究生教育内部质量保障体系建设研究；人工智能赋能研究生培养改革研究；第三方参与研究生教育质量保障体系建设研究；交叉学科学术成果认定机制研究；“破五唯”背景下研究生创新成果评价研究；研究生</w:t>
      </w:r>
      <w:r>
        <w:rPr>
          <w:rFonts w:ascii="仿宋" w:eastAsia="仿宋_GB2312" w:hAnsi="仿宋" w:hint="eastAsia"/>
          <w:sz w:val="32"/>
          <w:szCs w:val="32"/>
        </w:rPr>
        <w:lastRenderedPageBreak/>
        <w:t>课程教学质量评价标准研究；研究生课程思政教学质量评价研究；研究生教学模式改革与质量保证研究；研究生学位论文质量保障体系构建研究；学术学位研究生学位论文评价标准研究；专业学位研究生课程教学案例库建设研究；专业学位研究生学位论文评价标准研究；专业学位研究生申请学位实践成果形式及评价标准研究；专业学位研究生专业实践能力评价研究；研究生招生—培养—就业联动反馈机制研究；研究生培养成本分担机制研究。</w:t>
      </w:r>
    </w:p>
    <w:p w14:paraId="43058BDF" w14:textId="77777777" w:rsidR="00703CC0" w:rsidRDefault="00000000">
      <w:pPr>
        <w:adjustRightInd w:val="0"/>
        <w:snapToGrid w:val="0"/>
        <w:spacing w:line="560" w:lineRule="exact"/>
        <w:ind w:firstLineChars="200" w:firstLine="640"/>
        <w:rPr>
          <w:rFonts w:ascii="黑体" w:eastAsia="黑体" w:hAnsi="黑体" w:cs="黑体" w:hint="eastAsia"/>
          <w:bCs/>
          <w:sz w:val="32"/>
          <w:szCs w:val="32"/>
        </w:rPr>
      </w:pPr>
      <w:r>
        <w:rPr>
          <w:rFonts w:ascii="黑体" w:eastAsia="黑体" w:hAnsi="黑体" w:cs="黑体" w:hint="eastAsia"/>
          <w:bCs/>
          <w:sz w:val="32"/>
          <w:szCs w:val="32"/>
        </w:rPr>
        <w:t>六、研究生导师队伍建设研究</w:t>
      </w:r>
    </w:p>
    <w:p w14:paraId="7CF49310" w14:textId="77777777" w:rsidR="00703CC0" w:rsidRDefault="00000000">
      <w:pPr>
        <w:adjustRightInd w:val="0"/>
        <w:snapToGrid w:val="0"/>
        <w:spacing w:line="560" w:lineRule="exact"/>
        <w:ind w:firstLineChars="200" w:firstLine="640"/>
        <w:rPr>
          <w:rFonts w:ascii="仿宋" w:eastAsia="仿宋_GB2312" w:hAnsi="仿宋" w:hint="eastAsia"/>
          <w:sz w:val="32"/>
          <w:szCs w:val="32"/>
        </w:rPr>
      </w:pPr>
      <w:r>
        <w:rPr>
          <w:rFonts w:ascii="仿宋" w:eastAsia="仿宋_GB2312" w:hAnsi="仿宋" w:hint="eastAsia"/>
          <w:sz w:val="32"/>
          <w:szCs w:val="32"/>
        </w:rPr>
        <w:t>导师落实立德树人职责研究；导师师德师风建设研究；导师学术道德规范研究；导师队伍能力建设研究；导师队伍建设与团队指导模式研究；研究生导学共同体构建机制研究；校内校外双导师协同育人机制研究；导师培训研修体系研究；导师数字素养提升研究；优秀导师激励机制研究。</w:t>
      </w:r>
    </w:p>
    <w:p w14:paraId="36EA2DE7" w14:textId="77777777" w:rsidR="00703CC0" w:rsidRDefault="00000000">
      <w:pPr>
        <w:adjustRightInd w:val="0"/>
        <w:snapToGrid w:val="0"/>
        <w:spacing w:line="560" w:lineRule="exact"/>
        <w:ind w:firstLineChars="200" w:firstLine="640"/>
        <w:rPr>
          <w:rFonts w:ascii="黑体" w:eastAsia="黑体" w:hAnsi="黑体" w:cs="黑体" w:hint="eastAsia"/>
          <w:bCs/>
          <w:sz w:val="32"/>
          <w:szCs w:val="32"/>
        </w:rPr>
      </w:pPr>
      <w:r>
        <w:rPr>
          <w:rFonts w:ascii="黑体" w:eastAsia="黑体" w:hAnsi="黑体" w:cs="黑体" w:hint="eastAsia"/>
          <w:bCs/>
          <w:sz w:val="32"/>
          <w:szCs w:val="32"/>
        </w:rPr>
        <w:t>七、研究生思政教育与管理服务研究</w:t>
      </w:r>
    </w:p>
    <w:p w14:paraId="34B4EF2E" w14:textId="77777777" w:rsidR="00703CC0" w:rsidRDefault="00000000">
      <w:pPr>
        <w:adjustRightInd w:val="0"/>
        <w:snapToGrid w:val="0"/>
        <w:spacing w:line="560" w:lineRule="exact"/>
        <w:ind w:firstLineChars="200" w:firstLine="640"/>
        <w:rPr>
          <w:rFonts w:ascii="仿宋" w:eastAsia="仿宋_GB2312" w:hAnsi="仿宋" w:hint="eastAsia"/>
          <w:sz w:val="32"/>
          <w:szCs w:val="32"/>
        </w:rPr>
      </w:pPr>
      <w:r>
        <w:rPr>
          <w:rFonts w:ascii="仿宋" w:eastAsia="仿宋_GB2312" w:hAnsi="仿宋" w:hint="eastAsia"/>
          <w:sz w:val="32"/>
          <w:szCs w:val="32"/>
        </w:rPr>
        <w:t>研究生思想政治工作体系研究；研究生“大思政课”建设研究；新形势下研究生教育风险与危机管理应对研究；研究生安全稳定机制与实践路径研究；研究生职业发展问题研究；研究生学术文化与学风建设研究；研究生学术规范和学术道德教育研究；研究生多元奖助政策体系研究；研究生基层党建与科研创新相互促进研究；研究生党建工作机制与实践路径研究；研究生思想政治教育工作队伍建设研究；研究生教育管理队伍建设机制与实践路径研究；研究生心理健康教育研究。</w:t>
      </w:r>
    </w:p>
    <w:p w14:paraId="4CCFDA06" w14:textId="77777777" w:rsidR="00703CC0" w:rsidRDefault="00000000">
      <w:pPr>
        <w:adjustRightInd w:val="0"/>
        <w:snapToGrid w:val="0"/>
        <w:spacing w:line="560" w:lineRule="exact"/>
        <w:ind w:firstLineChars="200" w:firstLine="640"/>
        <w:rPr>
          <w:rFonts w:ascii="黑体" w:eastAsia="黑体" w:hAnsi="黑体" w:cs="黑体" w:hint="eastAsia"/>
          <w:bCs/>
          <w:sz w:val="32"/>
          <w:szCs w:val="32"/>
        </w:rPr>
      </w:pPr>
      <w:r>
        <w:rPr>
          <w:rFonts w:ascii="黑体" w:eastAsia="黑体" w:hAnsi="黑体" w:cs="黑体" w:hint="eastAsia"/>
          <w:bCs/>
          <w:sz w:val="32"/>
          <w:szCs w:val="32"/>
        </w:rPr>
        <w:lastRenderedPageBreak/>
        <w:t>八、研究生教育国际化研究</w:t>
      </w:r>
    </w:p>
    <w:p w14:paraId="76B5DDF8" w14:textId="77777777" w:rsidR="00703CC0" w:rsidRDefault="00000000">
      <w:pPr>
        <w:adjustRightInd w:val="0"/>
        <w:snapToGrid w:val="0"/>
        <w:spacing w:line="560" w:lineRule="exact"/>
        <w:ind w:firstLineChars="200" w:firstLine="640"/>
        <w:rPr>
          <w:rFonts w:ascii="仿宋" w:eastAsia="仿宋_GB2312" w:hAnsi="仿宋" w:hint="eastAsia"/>
          <w:sz w:val="32"/>
          <w:szCs w:val="32"/>
        </w:rPr>
      </w:pPr>
      <w:r>
        <w:rPr>
          <w:rFonts w:ascii="仿宋" w:eastAsia="仿宋_GB2312" w:hAnsi="仿宋" w:hint="eastAsia"/>
          <w:sz w:val="32"/>
          <w:szCs w:val="32"/>
        </w:rPr>
        <w:t>研究生国际学术交流机制与模式研究；来华留学研究生培养质量研究；研究生教育国际比较研究；提升研究生教育国际影响力路径研究。</w:t>
      </w:r>
    </w:p>
    <w:p w14:paraId="65C3E874" w14:textId="77777777" w:rsidR="00703CC0" w:rsidRDefault="00000000">
      <w:pPr>
        <w:adjustRightInd w:val="0"/>
        <w:snapToGrid w:val="0"/>
        <w:spacing w:line="560" w:lineRule="exact"/>
        <w:ind w:firstLineChars="200" w:firstLine="640"/>
        <w:rPr>
          <w:rFonts w:ascii="仿宋" w:eastAsia="仿宋_GB2312" w:hAnsi="仿宋" w:hint="eastAsia"/>
          <w:sz w:val="32"/>
          <w:szCs w:val="32"/>
        </w:rPr>
      </w:pPr>
      <w:r>
        <w:rPr>
          <w:rFonts w:ascii="黑体" w:eastAsia="黑体" w:hAnsi="黑体" w:cs="黑体" w:hint="eastAsia"/>
          <w:bCs/>
          <w:sz w:val="32"/>
          <w:szCs w:val="32"/>
        </w:rPr>
        <w:t>九、其他相关研究</w:t>
      </w:r>
    </w:p>
    <w:sectPr w:rsidR="00703CC0">
      <w:footerReference w:type="default" r:id="rId8"/>
      <w:pgSz w:w="11906" w:h="16838"/>
      <w:pgMar w:top="2211" w:right="1531" w:bottom="1871"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42CD7" w14:textId="77777777" w:rsidR="006F14A3" w:rsidRDefault="006F14A3">
      <w:r>
        <w:separator/>
      </w:r>
    </w:p>
  </w:endnote>
  <w:endnote w:type="continuationSeparator" w:id="0">
    <w:p w14:paraId="653FCD8D" w14:textId="77777777" w:rsidR="006F14A3" w:rsidRDefault="006F1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83DC6" w14:textId="34528B09" w:rsidR="00703CC0" w:rsidRDefault="00076DC4">
    <w:pPr>
      <w:pStyle w:val="a3"/>
    </w:pPr>
    <w:r>
      <w:rPr>
        <w:noProof/>
      </w:rPr>
      <mc:AlternateContent>
        <mc:Choice Requires="wps">
          <w:drawing>
            <wp:anchor distT="0" distB="0" distL="114300" distR="114300" simplePos="0" relativeHeight="251659264" behindDoc="0" locked="0" layoutInCell="1" allowOverlap="1" wp14:anchorId="05CD4D9A" wp14:editId="59448296">
              <wp:simplePos x="0" y="0"/>
              <wp:positionH relativeFrom="margin">
                <wp:align>center</wp:align>
              </wp:positionH>
              <wp:positionV relativeFrom="paragraph">
                <wp:posOffset>0</wp:posOffset>
              </wp:positionV>
              <wp:extent cx="58420" cy="13970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20" cy="139700"/>
                      </a:xfrm>
                      <a:prstGeom prst="rect">
                        <a:avLst/>
                      </a:prstGeom>
                      <a:noFill/>
                      <a:ln w="6350">
                        <a:noFill/>
                      </a:ln>
                    </wps:spPr>
                    <wps:txbx>
                      <w:txbxContent>
                        <w:p w14:paraId="5174B0FA" w14:textId="77777777" w:rsidR="00703CC0" w:rsidRDefault="00000000">
                          <w:pPr>
                            <w:pStyle w:val="a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05CD4D9A" id="_x0000_t202" coordsize="21600,21600" o:spt="202" path="m,l,21600r21600,l21600,xe">
              <v:stroke joinstyle="miter"/>
              <v:path gradientshapeok="t" o:connecttype="rect"/>
            </v:shapetype>
            <v:shape id="文本框 1" o:spid="_x0000_s1026" type="#_x0000_t202" style="position:absolute;margin-left:0;margin-top:0;width:4.6pt;height:11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" filled="f" stroked="f" strokeweight=".5pt">
              <v:textbox style="mso-fit-shape-to-text:t" inset="0,0,0,0">
                <w:txbxContent>
                  <w:p w14:paraId="5174B0FA" w14:textId="77777777" w:rsidR="00703CC0" w:rsidRDefault="00000000">
                    <w:pPr>
                      <w:pStyle w:val="a3"/>
                    </w:pPr>
                    <w:r>
                      <w:fldChar w:fldCharType="begin"/>
                    </w:r>
                    <w:r>
                      <w:instrText xml:space="preserve"> PAGE  \* MERGEFORMAT </w:instrText>
                    </w:r>
                    <w:r>
                      <w:fldChar w:fldCharType="separate"/>
                    </w:r>
                    <w:r>
                      <w:t>4</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02756" w14:textId="77777777" w:rsidR="006F14A3" w:rsidRDefault="006F14A3">
      <w:r>
        <w:separator/>
      </w:r>
    </w:p>
  </w:footnote>
  <w:footnote w:type="continuationSeparator" w:id="0">
    <w:p w14:paraId="545FD491" w14:textId="77777777" w:rsidR="006F14A3" w:rsidRDefault="006F14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FABA4A0"/>
    <w:multiLevelType w:val="singleLevel"/>
    <w:tmpl w:val="DFABA4A0"/>
    <w:lvl w:ilvl="0">
      <w:start w:val="8"/>
      <w:numFmt w:val="chineseCounting"/>
      <w:suff w:val="nothing"/>
      <w:lvlText w:val="%1、"/>
      <w:lvlJc w:val="left"/>
      <w:rPr>
        <w:rFonts w:hint="eastAsia"/>
      </w:rPr>
    </w:lvl>
  </w:abstractNum>
  <w:num w:numId="1" w16cid:durableId="1663507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jhmNDZlYWU5NzQ0Y2IyYmQwYjVmMWExM2IxZDJhZGMifQ=="/>
  </w:docVars>
  <w:rsids>
    <w:rsidRoot w:val="6607002C"/>
    <w:rsid w:val="BAFFC81D"/>
    <w:rsid w:val="BBA79180"/>
    <w:rsid w:val="BBAFA444"/>
    <w:rsid w:val="BDF4B93B"/>
    <w:rsid w:val="BE7BF1CC"/>
    <w:rsid w:val="BE7FF5D9"/>
    <w:rsid w:val="BEDF97AC"/>
    <w:rsid w:val="BFFD0C74"/>
    <w:rsid w:val="BFFFCBA6"/>
    <w:rsid w:val="C7CF953B"/>
    <w:rsid w:val="C7FAA2AC"/>
    <w:rsid w:val="CF3F0416"/>
    <w:rsid w:val="CFDF4AE5"/>
    <w:rsid w:val="CFDFFED0"/>
    <w:rsid w:val="D37FF595"/>
    <w:rsid w:val="D3A112D9"/>
    <w:rsid w:val="D3F7D9A2"/>
    <w:rsid w:val="D5FB1E14"/>
    <w:rsid w:val="D6BF801B"/>
    <w:rsid w:val="D779A75A"/>
    <w:rsid w:val="DD3F58CA"/>
    <w:rsid w:val="DEAB4C6C"/>
    <w:rsid w:val="DFEA3A54"/>
    <w:rsid w:val="DFEE7FE8"/>
    <w:rsid w:val="DFF95EBC"/>
    <w:rsid w:val="DFFF0343"/>
    <w:rsid w:val="E65C8C1D"/>
    <w:rsid w:val="E7B7206C"/>
    <w:rsid w:val="E8DB3116"/>
    <w:rsid w:val="E9FF5D24"/>
    <w:rsid w:val="EA279E1B"/>
    <w:rsid w:val="EB893B34"/>
    <w:rsid w:val="EC7811C0"/>
    <w:rsid w:val="EDF74D42"/>
    <w:rsid w:val="EE3E0954"/>
    <w:rsid w:val="EEE4C6DD"/>
    <w:rsid w:val="EF674110"/>
    <w:rsid w:val="EF7EB6A8"/>
    <w:rsid w:val="EFCF232A"/>
    <w:rsid w:val="EFFDFFE2"/>
    <w:rsid w:val="F3BE8FEB"/>
    <w:rsid w:val="F4D7D5BE"/>
    <w:rsid w:val="F5EABA37"/>
    <w:rsid w:val="F6EFD6A3"/>
    <w:rsid w:val="F77E3BFD"/>
    <w:rsid w:val="F7AF1B18"/>
    <w:rsid w:val="F7BF8454"/>
    <w:rsid w:val="FA5D872E"/>
    <w:rsid w:val="FB77072C"/>
    <w:rsid w:val="FB7F83B0"/>
    <w:rsid w:val="FC71D46A"/>
    <w:rsid w:val="FCFF4C19"/>
    <w:rsid w:val="FD4F0169"/>
    <w:rsid w:val="FD8F1733"/>
    <w:rsid w:val="FDBEE1C5"/>
    <w:rsid w:val="FDEFC0FC"/>
    <w:rsid w:val="FDFED970"/>
    <w:rsid w:val="FEBE6A5C"/>
    <w:rsid w:val="FF7BDB09"/>
    <w:rsid w:val="FF7D8FE5"/>
    <w:rsid w:val="FF8F855A"/>
    <w:rsid w:val="FF9B3B66"/>
    <w:rsid w:val="FFE73FF1"/>
    <w:rsid w:val="FFF98548"/>
    <w:rsid w:val="FFFB8A0B"/>
    <w:rsid w:val="00021401"/>
    <w:rsid w:val="00076DC4"/>
    <w:rsid w:val="001E639E"/>
    <w:rsid w:val="001F768D"/>
    <w:rsid w:val="002853E5"/>
    <w:rsid w:val="002B3F66"/>
    <w:rsid w:val="00302742"/>
    <w:rsid w:val="003F77E6"/>
    <w:rsid w:val="00592A29"/>
    <w:rsid w:val="006A5190"/>
    <w:rsid w:val="006F05BD"/>
    <w:rsid w:val="006F14A3"/>
    <w:rsid w:val="006F6E0F"/>
    <w:rsid w:val="00703CC0"/>
    <w:rsid w:val="007630BD"/>
    <w:rsid w:val="00867DEE"/>
    <w:rsid w:val="00B93652"/>
    <w:rsid w:val="00C402D1"/>
    <w:rsid w:val="0123016A"/>
    <w:rsid w:val="01FA44D4"/>
    <w:rsid w:val="02551A35"/>
    <w:rsid w:val="04F82B4C"/>
    <w:rsid w:val="05777F14"/>
    <w:rsid w:val="05EA6938"/>
    <w:rsid w:val="06190FCC"/>
    <w:rsid w:val="0624011C"/>
    <w:rsid w:val="06542CAB"/>
    <w:rsid w:val="065D35AE"/>
    <w:rsid w:val="06A42F8B"/>
    <w:rsid w:val="07E67A45"/>
    <w:rsid w:val="095C5D9F"/>
    <w:rsid w:val="0AED6C96"/>
    <w:rsid w:val="0B6A43CA"/>
    <w:rsid w:val="0CBE467B"/>
    <w:rsid w:val="0F9F73F6"/>
    <w:rsid w:val="10CD1330"/>
    <w:rsid w:val="13541348"/>
    <w:rsid w:val="14FE5E56"/>
    <w:rsid w:val="177D585E"/>
    <w:rsid w:val="17EF4694"/>
    <w:rsid w:val="19B94CAF"/>
    <w:rsid w:val="1A141D7E"/>
    <w:rsid w:val="1A175855"/>
    <w:rsid w:val="1D721295"/>
    <w:rsid w:val="1D7FB44E"/>
    <w:rsid w:val="1E1F19A8"/>
    <w:rsid w:val="1E3BB8CE"/>
    <w:rsid w:val="1E9670FF"/>
    <w:rsid w:val="1ED66300"/>
    <w:rsid w:val="205834E6"/>
    <w:rsid w:val="21CD2F3E"/>
    <w:rsid w:val="2527505B"/>
    <w:rsid w:val="25495698"/>
    <w:rsid w:val="27825F31"/>
    <w:rsid w:val="29D02553"/>
    <w:rsid w:val="2A0C4820"/>
    <w:rsid w:val="2E2A34C6"/>
    <w:rsid w:val="2FD69960"/>
    <w:rsid w:val="302A3C52"/>
    <w:rsid w:val="30E38BBC"/>
    <w:rsid w:val="33E10ACB"/>
    <w:rsid w:val="33EB36F8"/>
    <w:rsid w:val="341113B0"/>
    <w:rsid w:val="347A51A8"/>
    <w:rsid w:val="34847DD4"/>
    <w:rsid w:val="34A264AC"/>
    <w:rsid w:val="35776899"/>
    <w:rsid w:val="36985DB9"/>
    <w:rsid w:val="36A44BEC"/>
    <w:rsid w:val="37C36C15"/>
    <w:rsid w:val="385E7D43"/>
    <w:rsid w:val="39B301A7"/>
    <w:rsid w:val="3A3C2633"/>
    <w:rsid w:val="3C9B215F"/>
    <w:rsid w:val="3CB60943"/>
    <w:rsid w:val="3D5440BC"/>
    <w:rsid w:val="3DFD52E7"/>
    <w:rsid w:val="3E2B306F"/>
    <w:rsid w:val="3E492E08"/>
    <w:rsid w:val="3EF61237"/>
    <w:rsid w:val="3EFE7928"/>
    <w:rsid w:val="3F35A0B2"/>
    <w:rsid w:val="3F8F3A20"/>
    <w:rsid w:val="3FDE2FC1"/>
    <w:rsid w:val="3FEC5E5F"/>
    <w:rsid w:val="3FFF15E1"/>
    <w:rsid w:val="3FFFE4D3"/>
    <w:rsid w:val="408E3207"/>
    <w:rsid w:val="41CD1EA6"/>
    <w:rsid w:val="42562684"/>
    <w:rsid w:val="43914C2A"/>
    <w:rsid w:val="447A4D50"/>
    <w:rsid w:val="449657B8"/>
    <w:rsid w:val="44A65B45"/>
    <w:rsid w:val="4A804742"/>
    <w:rsid w:val="4EB704D1"/>
    <w:rsid w:val="4FC93126"/>
    <w:rsid w:val="50025D05"/>
    <w:rsid w:val="52FCB9FD"/>
    <w:rsid w:val="54FE38B0"/>
    <w:rsid w:val="55690BF5"/>
    <w:rsid w:val="55917BAF"/>
    <w:rsid w:val="5779314C"/>
    <w:rsid w:val="586E7225"/>
    <w:rsid w:val="5B7F7302"/>
    <w:rsid w:val="5C7BA63B"/>
    <w:rsid w:val="5CEFFD08"/>
    <w:rsid w:val="5D7F4930"/>
    <w:rsid w:val="5D9F7C6B"/>
    <w:rsid w:val="5DF3ABAC"/>
    <w:rsid w:val="5DFF86EE"/>
    <w:rsid w:val="5FEE71D7"/>
    <w:rsid w:val="5FF3EEC0"/>
    <w:rsid w:val="604638E0"/>
    <w:rsid w:val="6607002C"/>
    <w:rsid w:val="67B7199E"/>
    <w:rsid w:val="67F955AE"/>
    <w:rsid w:val="69091942"/>
    <w:rsid w:val="6A3F387A"/>
    <w:rsid w:val="6B7DF3D4"/>
    <w:rsid w:val="6BC524A5"/>
    <w:rsid w:val="6C240DB1"/>
    <w:rsid w:val="6CFB57A6"/>
    <w:rsid w:val="6D864EA4"/>
    <w:rsid w:val="6DDDB5F6"/>
    <w:rsid w:val="6EC6F991"/>
    <w:rsid w:val="6EF32551"/>
    <w:rsid w:val="6EFB48B1"/>
    <w:rsid w:val="6EFFBA93"/>
    <w:rsid w:val="6FB5FD87"/>
    <w:rsid w:val="6FCFD5B7"/>
    <w:rsid w:val="6FD14DC4"/>
    <w:rsid w:val="6FE72ABE"/>
    <w:rsid w:val="6FEFFA6A"/>
    <w:rsid w:val="6FFBFBE2"/>
    <w:rsid w:val="70B72510"/>
    <w:rsid w:val="73E6216D"/>
    <w:rsid w:val="7457A843"/>
    <w:rsid w:val="74F5C072"/>
    <w:rsid w:val="75734D20"/>
    <w:rsid w:val="75DF5DE2"/>
    <w:rsid w:val="76BB92D8"/>
    <w:rsid w:val="777AF46D"/>
    <w:rsid w:val="77DE0CC0"/>
    <w:rsid w:val="78FE42BB"/>
    <w:rsid w:val="79886011"/>
    <w:rsid w:val="79AC7A48"/>
    <w:rsid w:val="79D85059"/>
    <w:rsid w:val="79FE9662"/>
    <w:rsid w:val="7AF44F21"/>
    <w:rsid w:val="7B3C6D50"/>
    <w:rsid w:val="7BAF2D34"/>
    <w:rsid w:val="7BE4E4B8"/>
    <w:rsid w:val="7BF8CECC"/>
    <w:rsid w:val="7D9FE9FC"/>
    <w:rsid w:val="7DEF360F"/>
    <w:rsid w:val="7DF432BE"/>
    <w:rsid w:val="7E3CF3FE"/>
    <w:rsid w:val="7E7FF09E"/>
    <w:rsid w:val="7E9049B7"/>
    <w:rsid w:val="7F1F4375"/>
    <w:rsid w:val="7F3D7DE8"/>
    <w:rsid w:val="7F783209"/>
    <w:rsid w:val="7F81C53B"/>
    <w:rsid w:val="7FA7D872"/>
    <w:rsid w:val="7FCA19E0"/>
    <w:rsid w:val="7FDB5A18"/>
    <w:rsid w:val="7FE94FF3"/>
    <w:rsid w:val="7FEF7E3C"/>
    <w:rsid w:val="7FF0DCAB"/>
    <w:rsid w:val="7FF5C7F4"/>
    <w:rsid w:val="7FF7279A"/>
    <w:rsid w:val="7FFBCD5E"/>
    <w:rsid w:val="7FFC5739"/>
    <w:rsid w:val="7FFD4F3A"/>
    <w:rsid w:val="7FFF08C5"/>
    <w:rsid w:val="9FF39BAD"/>
    <w:rsid w:val="A1B70EAB"/>
    <w:rsid w:val="A9B8A065"/>
    <w:rsid w:val="ABFF3483"/>
    <w:rsid w:val="ACFDD868"/>
    <w:rsid w:val="AEBFB584"/>
    <w:rsid w:val="AED447A3"/>
    <w:rsid w:val="AFFF41F1"/>
    <w:rsid w:val="B5FD5C44"/>
    <w:rsid w:val="B6F9A306"/>
    <w:rsid w:val="B75FD9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14A69A"/>
  <w15:docId w15:val="{585671CD-5EB4-49C1-AFC7-165DB974B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character" w:styleId="a6">
    <w:name w:val="Strong"/>
    <w:basedOn w:val="a0"/>
    <w:qFormat/>
    <w:rPr>
      <w:b/>
    </w:rPr>
  </w:style>
  <w:style w:type="character" w:styleId="a7">
    <w:name w:val="Emphasis"/>
    <w:basedOn w:val="a0"/>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997</Words>
  <Characters>5684</Characters>
  <Application>Microsoft Office Word</Application>
  <DocSecurity>0</DocSecurity>
  <Lines>47</Lines>
  <Paragraphs>13</Paragraphs>
  <ScaleCrop>false</ScaleCrop>
  <Company>Microsoft</Company>
  <LinksUpToDate>false</LinksUpToDate>
  <CharactersWithSpaces>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次第花开</dc:creator>
  <cp:lastModifiedBy>Administrator</cp:lastModifiedBy>
  <cp:revision>2</cp:revision>
  <cp:lastPrinted>2025-07-05T01:24:00Z</cp:lastPrinted>
  <dcterms:created xsi:type="dcterms:W3CDTF">2025-07-04T09:56:00Z</dcterms:created>
  <dcterms:modified xsi:type="dcterms:W3CDTF">2025-07-04T09:56:00Z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FCD3B03BAC2E4EDCA7E9F82414F5E33A_11</vt:lpwstr>
  </property>
  <property fmtid="{D5CDD505-2E9C-101B-9397-08002B2CF9AE}" pid="4" name="KSOTemplateDocerSaveRecord">
    <vt:lpwstr>eyJoZGlkIjoiMTA5YWY1MjUxMDg4Y2JkZjE2OWI0MGZkNTcyNGU1NDAiLCJ1c2VySWQiOiIyNTI0NjIxNzkifQ==</vt:lpwstr>
  </property>
</Properties>
</file>